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28B5D">
      <w:pPr>
        <w:spacing w:line="240" w:lineRule="auto"/>
        <w:jc w:val="center"/>
        <w:rPr>
          <w:rFonts w:eastAsia="Times New Roman" w:asciiTheme="majorBidi" w:hAnsiTheme="majorBidi" w:cstheme="majorBidi"/>
          <w:b/>
          <w:bCs/>
          <w:sz w:val="28"/>
          <w:szCs w:val="28"/>
        </w:rPr>
      </w:pPr>
    </w:p>
    <w:p w14:paraId="3B492256">
      <w:pPr>
        <w:spacing w:line="240" w:lineRule="auto"/>
        <w:jc w:val="center"/>
        <w:rPr>
          <w:rFonts w:eastAsia="Times New Roman" w:asciiTheme="majorBidi" w:hAnsiTheme="majorBidi" w:cstheme="majorBidi"/>
          <w:b/>
          <w:bCs/>
          <w:sz w:val="28"/>
          <w:szCs w:val="28"/>
        </w:rPr>
      </w:pPr>
    </w:p>
    <w:p w14:paraId="70058FBA">
      <w:pPr>
        <w:jc w:val="center"/>
        <w:rPr>
          <w:rFonts w:ascii="Times New Roman" w:hAnsi="Times New Roman" w:cs="Times New Roman"/>
          <w:b/>
          <w:bCs/>
          <w:sz w:val="32"/>
          <w:szCs w:val="32"/>
        </w:rPr>
      </w:pPr>
      <w:r>
        <w:rPr>
          <w:rFonts w:ascii="Times New Roman" w:hAnsi="Times New Roman" w:cs="Times New Roman"/>
          <w:b/>
          <w:bCs/>
          <w:sz w:val="32"/>
          <w:szCs w:val="32"/>
        </w:rPr>
        <w:t>L’acceptation de l’innovation dans la formation à travers l’intégration d’un cursus axé sur les soft skills</w:t>
      </w:r>
    </w:p>
    <w:p w14:paraId="56AB3821">
      <w:pPr>
        <w:spacing w:line="240" w:lineRule="auto"/>
        <w:jc w:val="center"/>
        <w:rPr>
          <w:rFonts w:eastAsia="Times New Roman" w:asciiTheme="majorBidi" w:hAnsiTheme="majorBidi" w:cstheme="majorBidi"/>
          <w:b/>
          <w:bCs/>
          <w:sz w:val="28"/>
          <w:szCs w:val="28"/>
        </w:rPr>
      </w:pPr>
    </w:p>
    <w:p w14:paraId="3B780A14">
      <w:pPr>
        <w:spacing w:after="200" w:line="240"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The acceptance of innovation in training through the integration of a cursus based on soft skills</w:t>
      </w:r>
    </w:p>
    <w:p w14:paraId="535F00B0">
      <w:pPr>
        <w:spacing w:line="240" w:lineRule="auto"/>
        <w:jc w:val="center"/>
        <w:rPr>
          <w:rFonts w:asciiTheme="majorBidi" w:hAnsiTheme="majorBidi" w:cstheme="majorBidi"/>
          <w:b/>
          <w:bCs/>
          <w:sz w:val="24"/>
          <w:szCs w:val="24"/>
        </w:rPr>
      </w:pPr>
    </w:p>
    <w:p w14:paraId="144A315A">
      <w:pPr>
        <w:spacing w:line="240" w:lineRule="auto"/>
        <w:jc w:val="center"/>
        <w:rPr>
          <w:rFonts w:asciiTheme="majorBidi" w:hAnsiTheme="majorBidi" w:cstheme="majorBidi"/>
          <w:b/>
          <w:bCs/>
          <w:sz w:val="24"/>
          <w:szCs w:val="24"/>
        </w:rPr>
      </w:pPr>
    </w:p>
    <w:p w14:paraId="56CFA6FB">
      <w:pPr>
        <w:spacing w:line="240" w:lineRule="auto"/>
        <w:jc w:val="center"/>
        <w:rPr>
          <w:rFonts w:asciiTheme="majorBidi" w:hAnsiTheme="majorBidi" w:cstheme="majorBidi"/>
          <w:b/>
          <w:bCs/>
          <w:sz w:val="24"/>
          <w:szCs w:val="24"/>
        </w:rPr>
      </w:pPr>
      <w:r>
        <w:rPr>
          <w:rFonts w:ascii="Times New Roman" w:hAnsi="Times New Roman" w:cs="Times New Roman"/>
          <w:b/>
          <w:bCs/>
          <w:sz w:val="24"/>
          <w:szCs w:val="24"/>
        </w:rPr>
        <w:t>KHEMAKHEM</w:t>
      </w:r>
      <w:r>
        <w:rPr>
          <w:rFonts w:asciiTheme="majorBidi" w:hAnsiTheme="majorBidi" w:cstheme="majorBidi"/>
          <w:b/>
          <w:bCs/>
          <w:sz w:val="24"/>
          <w:szCs w:val="24"/>
        </w:rPr>
        <w:t xml:space="preserve"> </w:t>
      </w:r>
      <w:r>
        <w:rPr>
          <w:rFonts w:ascii="Times New Roman" w:hAnsi="Times New Roman" w:cs="Times New Roman"/>
          <w:b/>
          <w:bCs/>
          <w:sz w:val="24"/>
          <w:szCs w:val="24"/>
        </w:rPr>
        <w:t>Romdhane</w:t>
      </w:r>
    </w:p>
    <w:p w14:paraId="7E8BA517">
      <w:pPr>
        <w:spacing w:line="240" w:lineRule="auto"/>
        <w:jc w:val="center"/>
        <w:rPr>
          <w:rFonts w:asciiTheme="majorBidi" w:hAnsiTheme="majorBidi" w:cstheme="majorBidi"/>
          <w:sz w:val="24"/>
          <w:szCs w:val="24"/>
        </w:rPr>
      </w:pPr>
      <w:r>
        <w:rPr>
          <w:rFonts w:hint="default" w:asciiTheme="majorBidi" w:hAnsiTheme="majorBidi" w:cstheme="majorBidi"/>
          <w:sz w:val="24"/>
          <w:szCs w:val="24"/>
          <w:lang w:val="fr-FR"/>
        </w:rPr>
        <w:t>Professeur u</w:t>
      </w:r>
      <w:bookmarkStart w:id="0" w:name="_GoBack"/>
      <w:bookmarkEnd w:id="0"/>
      <w:r>
        <w:rPr>
          <w:rFonts w:hint="default" w:asciiTheme="majorBidi" w:hAnsiTheme="majorBidi" w:cstheme="majorBidi"/>
          <w:sz w:val="24"/>
          <w:szCs w:val="24"/>
          <w:lang w:val="fr-FR"/>
        </w:rPr>
        <w:t>niversitaire</w:t>
      </w:r>
    </w:p>
    <w:p w14:paraId="52DC0E83">
      <w:pPr>
        <w:spacing w:line="240" w:lineRule="auto"/>
        <w:jc w:val="center"/>
        <w:rPr>
          <w:rFonts w:asciiTheme="majorBidi" w:hAnsiTheme="majorBidi" w:cstheme="majorBidi"/>
          <w:sz w:val="24"/>
          <w:szCs w:val="24"/>
        </w:rPr>
      </w:pPr>
      <w:r>
        <w:rPr>
          <w:rFonts w:ascii="Times New Roman" w:hAnsi="Times New Roman" w:cs="Times New Roman"/>
          <w:sz w:val="24"/>
          <w:szCs w:val="24"/>
        </w:rPr>
        <w:t>Faculté de sciences économiques et de gestion de Sfax</w:t>
      </w:r>
    </w:p>
    <w:p w14:paraId="1BAD1936">
      <w:pPr>
        <w:jc w:val="center"/>
        <w:rPr>
          <w:rFonts w:ascii="Times New Roman" w:hAnsi="Times New Roman" w:cs="Times New Roman"/>
          <w:sz w:val="24"/>
          <w:szCs w:val="24"/>
        </w:rPr>
      </w:pPr>
      <w:r>
        <w:rPr>
          <w:rFonts w:asciiTheme="majorBidi" w:hAnsiTheme="majorBidi" w:cstheme="majorBidi"/>
          <w:sz w:val="24"/>
          <w:szCs w:val="24"/>
        </w:rPr>
        <w:t xml:space="preserve">  </w:t>
      </w:r>
      <w:r>
        <w:rPr>
          <w:rFonts w:hint="default" w:asciiTheme="majorBidi" w:hAnsiTheme="majorBidi" w:cstheme="majorBidi"/>
          <w:sz w:val="24"/>
          <w:szCs w:val="24"/>
          <w:lang w:val="fr-FR"/>
        </w:rPr>
        <w:t>U</w:t>
      </w:r>
      <w:r>
        <w:rPr>
          <w:rFonts w:ascii="Times New Roman" w:hAnsi="Times New Roman" w:cs="Times New Roman"/>
          <w:sz w:val="24"/>
          <w:szCs w:val="24"/>
        </w:rPr>
        <w:t>niversité of Sfax</w:t>
      </w:r>
      <w:r>
        <w:rPr>
          <w:rFonts w:hint="default" w:ascii="Times New Roman" w:hAnsi="Times New Roman" w:cs="Times New Roman"/>
          <w:sz w:val="24"/>
          <w:szCs w:val="24"/>
          <w:lang w:val="fr-FR"/>
        </w:rPr>
        <w:t xml:space="preserve"> </w:t>
      </w:r>
      <w:r>
        <w:rPr>
          <w:rFonts w:asciiTheme="majorBidi" w:hAnsiTheme="majorBidi" w:cstheme="majorBidi"/>
          <w:sz w:val="24"/>
          <w:szCs w:val="24"/>
        </w:rPr>
        <w:t>-</w:t>
      </w:r>
      <w:r>
        <w:rPr>
          <w:rFonts w:hint="default" w:asciiTheme="majorBidi" w:hAnsiTheme="majorBidi" w:cstheme="majorBidi"/>
          <w:sz w:val="24"/>
          <w:szCs w:val="24"/>
          <w:lang w:val="fr-FR"/>
        </w:rPr>
        <w:t xml:space="preserve"> </w:t>
      </w:r>
      <w:r>
        <w:rPr>
          <w:rFonts w:ascii="Times New Roman" w:hAnsi="Times New Roman" w:cs="Times New Roman"/>
          <w:sz w:val="24"/>
          <w:szCs w:val="24"/>
        </w:rPr>
        <w:t>Tunisie</w:t>
      </w:r>
    </w:p>
    <w:p w14:paraId="13C8234D">
      <w:pPr>
        <w:spacing w:line="240" w:lineRule="auto"/>
        <w:jc w:val="center"/>
        <w:rPr>
          <w:rFonts w:asciiTheme="majorBidi" w:hAnsiTheme="majorBidi" w:cstheme="majorBidi"/>
          <w:sz w:val="24"/>
          <w:szCs w:val="24"/>
        </w:rPr>
      </w:pPr>
      <w:r>
        <w:rPr>
          <w:rFonts w:hint="default" w:ascii="Times New Roman" w:hAnsi="Times New Roman" w:eastAsia="Georgia" w:cs="Times New Roman"/>
          <w:b w:val="0"/>
          <w:bCs w:val="0"/>
          <w:i w:val="0"/>
          <w:iCs w:val="0"/>
          <w:caps w:val="0"/>
          <w:color w:val="000000" w:themeColor="text1"/>
          <w:spacing w:val="0"/>
          <w:sz w:val="24"/>
          <w:szCs w:val="24"/>
          <w:shd w:val="clear" w:fill="FFFFFF"/>
          <w14:textFill>
            <w14:solidFill>
              <w14:schemeClr w14:val="tx1"/>
            </w14:solidFill>
          </w14:textFill>
        </w:rPr>
        <w:t>Laboratoire de Recherche en Marketing (LRM)</w:t>
      </w:r>
    </w:p>
    <w:p w14:paraId="1D157E02">
      <w:pPr>
        <w:spacing w:line="240" w:lineRule="auto"/>
        <w:jc w:val="center"/>
        <w:rPr>
          <w:rFonts w:asciiTheme="majorBidi" w:hAnsiTheme="majorBidi" w:cstheme="majorBidi"/>
          <w:b/>
          <w:bCs/>
          <w:sz w:val="24"/>
          <w:szCs w:val="24"/>
        </w:rPr>
      </w:pPr>
      <w:r>
        <w:rPr>
          <w:rFonts w:ascii="Times New Roman" w:hAnsi="Times New Roman" w:cs="Times New Roman"/>
          <w:b/>
          <w:bCs/>
          <w:sz w:val="24"/>
          <w:szCs w:val="24"/>
        </w:rPr>
        <w:t>m.khemakhem@gmail.com</w:t>
      </w:r>
    </w:p>
    <w:p w14:paraId="2856F2B0">
      <w:pPr>
        <w:spacing w:line="240" w:lineRule="auto"/>
        <w:jc w:val="center"/>
        <w:rPr>
          <w:rFonts w:asciiTheme="majorBidi" w:hAnsiTheme="majorBidi" w:cstheme="majorBidi"/>
          <w:b/>
          <w:bCs/>
          <w:sz w:val="24"/>
          <w:szCs w:val="24"/>
        </w:rPr>
      </w:pPr>
    </w:p>
    <w:p w14:paraId="015C8BF9">
      <w:pPr>
        <w:spacing w:line="240" w:lineRule="auto"/>
        <w:jc w:val="center"/>
        <w:rPr>
          <w:rFonts w:asciiTheme="majorBidi" w:hAnsiTheme="majorBidi" w:cstheme="majorBidi"/>
          <w:b/>
          <w:bCs/>
          <w:sz w:val="24"/>
          <w:szCs w:val="24"/>
        </w:rPr>
      </w:pPr>
    </w:p>
    <w:p w14:paraId="7D54058F">
      <w:pPr>
        <w:spacing w:line="240" w:lineRule="auto"/>
        <w:jc w:val="center"/>
        <w:rPr>
          <w:rFonts w:asciiTheme="majorBidi" w:hAnsiTheme="majorBidi" w:cstheme="majorBidi"/>
          <w:b/>
          <w:bCs/>
          <w:sz w:val="24"/>
          <w:szCs w:val="24"/>
        </w:rPr>
      </w:pPr>
    </w:p>
    <w:p w14:paraId="1B66442D">
      <w:pPr>
        <w:spacing w:line="240" w:lineRule="auto"/>
        <w:jc w:val="center"/>
        <w:rPr>
          <w:rFonts w:asciiTheme="majorBidi" w:hAnsiTheme="majorBidi" w:cstheme="majorBidi"/>
          <w:b/>
          <w:bCs/>
          <w:sz w:val="24"/>
          <w:szCs w:val="24"/>
        </w:rPr>
      </w:pPr>
      <w:r>
        <w:rPr>
          <w:rFonts w:hint="default" w:asciiTheme="majorBidi" w:hAnsiTheme="majorBidi" w:cstheme="majorBidi"/>
          <w:b/>
          <w:bCs/>
          <w:sz w:val="24"/>
          <w:szCs w:val="24"/>
          <w:lang w:val="fr-FR"/>
        </w:rPr>
        <w:t>HAMDI</w:t>
      </w:r>
      <w:r>
        <w:rPr>
          <w:rFonts w:asciiTheme="majorBidi" w:hAnsiTheme="majorBidi" w:cstheme="majorBidi"/>
          <w:b/>
          <w:bCs/>
          <w:sz w:val="24"/>
          <w:szCs w:val="24"/>
        </w:rPr>
        <w:t xml:space="preserve"> </w:t>
      </w:r>
      <w:r>
        <w:rPr>
          <w:rFonts w:hint="default" w:asciiTheme="majorBidi" w:hAnsiTheme="majorBidi" w:cstheme="majorBidi"/>
          <w:b/>
          <w:bCs/>
          <w:sz w:val="24"/>
          <w:szCs w:val="24"/>
          <w:lang w:val="fr-FR"/>
        </w:rPr>
        <w:t>Samah</w:t>
      </w:r>
      <w:r>
        <w:rPr>
          <w:rFonts w:asciiTheme="majorBidi" w:hAnsiTheme="majorBidi" w:cstheme="majorBidi"/>
          <w:b/>
          <w:bCs/>
          <w:sz w:val="24"/>
          <w:szCs w:val="24"/>
        </w:rPr>
        <w:t xml:space="preserve"> </w:t>
      </w:r>
    </w:p>
    <w:p w14:paraId="2ADDB9DA">
      <w:pPr>
        <w:spacing w:line="240" w:lineRule="auto"/>
        <w:jc w:val="center"/>
        <w:rPr>
          <w:rFonts w:hint="default" w:asciiTheme="majorBidi" w:hAnsiTheme="majorBidi" w:cstheme="majorBidi"/>
          <w:sz w:val="24"/>
          <w:szCs w:val="24"/>
          <w:lang w:val="fr-FR"/>
        </w:rPr>
      </w:pPr>
      <w:r>
        <w:rPr>
          <w:rFonts w:asciiTheme="majorBidi" w:hAnsiTheme="majorBidi" w:cstheme="majorBidi"/>
          <w:sz w:val="24"/>
          <w:szCs w:val="24"/>
        </w:rPr>
        <w:t>Doctorant</w:t>
      </w:r>
      <w:r>
        <w:rPr>
          <w:rFonts w:hint="default" w:asciiTheme="majorBidi" w:hAnsiTheme="majorBidi" w:cstheme="majorBidi"/>
          <w:sz w:val="24"/>
          <w:szCs w:val="24"/>
          <w:lang w:val="fr-FR"/>
        </w:rPr>
        <w:t>e</w:t>
      </w:r>
    </w:p>
    <w:p w14:paraId="0268DBE9">
      <w:pPr>
        <w:spacing w:line="240" w:lineRule="auto"/>
        <w:jc w:val="center"/>
        <w:rPr>
          <w:rFonts w:ascii="Times New Roman" w:hAnsi="Times New Roman" w:cs="Times New Roman"/>
          <w:sz w:val="24"/>
          <w:szCs w:val="24"/>
        </w:rPr>
      </w:pPr>
      <w:r>
        <w:rPr>
          <w:rFonts w:ascii="Times New Roman" w:hAnsi="Times New Roman" w:cs="Times New Roman"/>
          <w:sz w:val="24"/>
          <w:szCs w:val="24"/>
        </w:rPr>
        <w:t>Faculté de sciences économiques et de gestion de Sfax</w:t>
      </w:r>
    </w:p>
    <w:p w14:paraId="18223F10">
      <w:pPr>
        <w:jc w:val="center"/>
        <w:rPr>
          <w:rFonts w:ascii="Times New Roman" w:hAnsi="Times New Roman" w:cs="Times New Roman"/>
          <w:sz w:val="24"/>
          <w:szCs w:val="24"/>
        </w:rPr>
      </w:pPr>
      <w:r>
        <w:rPr>
          <w:rFonts w:asciiTheme="majorBidi" w:hAnsiTheme="majorBidi" w:cstheme="majorBidi"/>
          <w:sz w:val="24"/>
          <w:szCs w:val="24"/>
        </w:rPr>
        <w:t xml:space="preserve">  </w:t>
      </w:r>
      <w:r>
        <w:rPr>
          <w:rFonts w:hint="default" w:asciiTheme="majorBidi" w:hAnsiTheme="majorBidi" w:cstheme="majorBidi"/>
          <w:sz w:val="24"/>
          <w:szCs w:val="24"/>
          <w:lang w:val="fr-FR"/>
        </w:rPr>
        <w:t>U</w:t>
      </w:r>
      <w:r>
        <w:rPr>
          <w:rFonts w:ascii="Times New Roman" w:hAnsi="Times New Roman" w:cs="Times New Roman"/>
          <w:sz w:val="24"/>
          <w:szCs w:val="24"/>
        </w:rPr>
        <w:t>niversité of Sfax</w:t>
      </w:r>
      <w:r>
        <w:rPr>
          <w:rFonts w:hint="default" w:ascii="Times New Roman" w:hAnsi="Times New Roman" w:cs="Times New Roman"/>
          <w:sz w:val="24"/>
          <w:szCs w:val="24"/>
          <w:lang w:val="fr-FR"/>
        </w:rPr>
        <w:t xml:space="preserve"> </w:t>
      </w:r>
      <w:r>
        <w:rPr>
          <w:rFonts w:asciiTheme="majorBidi" w:hAnsiTheme="majorBidi" w:cstheme="majorBidi"/>
          <w:sz w:val="24"/>
          <w:szCs w:val="24"/>
        </w:rPr>
        <w:t>-</w:t>
      </w:r>
      <w:r>
        <w:rPr>
          <w:rFonts w:hint="default" w:asciiTheme="majorBidi" w:hAnsiTheme="majorBidi" w:cstheme="majorBidi"/>
          <w:sz w:val="24"/>
          <w:szCs w:val="24"/>
          <w:lang w:val="fr-FR"/>
        </w:rPr>
        <w:t xml:space="preserve"> </w:t>
      </w:r>
      <w:r>
        <w:rPr>
          <w:rFonts w:ascii="Times New Roman" w:hAnsi="Times New Roman" w:cs="Times New Roman"/>
          <w:sz w:val="24"/>
          <w:szCs w:val="24"/>
        </w:rPr>
        <w:t>Tunisie</w:t>
      </w:r>
    </w:p>
    <w:p w14:paraId="5C0E1961">
      <w:pPr>
        <w:spacing w:line="240" w:lineRule="auto"/>
        <w:jc w:val="center"/>
        <w:rPr>
          <w:rFonts w:hint="default" w:ascii="Times New Roman" w:hAnsi="Times New Roman" w:eastAsia="Georgia" w:cs="Times New Roman"/>
          <w:b w:val="0"/>
          <w:bCs w:val="0"/>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Georgia" w:cs="Times New Roman"/>
          <w:b w:val="0"/>
          <w:bCs w:val="0"/>
          <w:i w:val="0"/>
          <w:iCs w:val="0"/>
          <w:caps w:val="0"/>
          <w:color w:val="000000" w:themeColor="text1"/>
          <w:spacing w:val="0"/>
          <w:sz w:val="24"/>
          <w:szCs w:val="24"/>
          <w:shd w:val="clear" w:fill="FFFFFF"/>
          <w14:textFill>
            <w14:solidFill>
              <w14:schemeClr w14:val="tx1"/>
            </w14:solidFill>
          </w14:textFill>
        </w:rPr>
        <w:t>Laboratoire de Recherche en Marketing (LRM)</w:t>
      </w:r>
    </w:p>
    <w:p w14:paraId="169CB338">
      <w:pPr>
        <w:spacing w:line="240" w:lineRule="auto"/>
        <w:jc w:val="center"/>
        <w:rPr>
          <w:rFonts w:asciiTheme="majorBidi" w:hAnsiTheme="majorBidi" w:cstheme="majorBidi"/>
          <w:b/>
          <w:bCs/>
          <w:sz w:val="24"/>
          <w:szCs w:val="24"/>
        </w:rPr>
      </w:pPr>
      <w:r>
        <w:rPr>
          <w:rFonts w:ascii="Times New Roman" w:hAnsi="Times New Roman" w:cs="Times New Roman"/>
          <w:b/>
          <w:bCs/>
          <w:sz w:val="24"/>
          <w:szCs w:val="24"/>
        </w:rPr>
        <w:t>Hamdisamah7@gmailcom</w:t>
      </w:r>
    </w:p>
    <w:p w14:paraId="149426C4">
      <w:pPr>
        <w:spacing w:line="240" w:lineRule="auto"/>
        <w:jc w:val="center"/>
        <w:rPr>
          <w:rFonts w:asciiTheme="majorBidi" w:hAnsiTheme="majorBidi" w:cstheme="majorBidi"/>
          <w:b/>
          <w:bCs/>
          <w:sz w:val="24"/>
          <w:szCs w:val="24"/>
        </w:rPr>
      </w:pPr>
    </w:p>
    <w:p w14:paraId="129FE241">
      <w:pPr>
        <w:spacing w:line="240" w:lineRule="auto"/>
        <w:jc w:val="center"/>
        <w:rPr>
          <w:rFonts w:asciiTheme="majorBidi" w:hAnsiTheme="majorBidi" w:cstheme="majorBidi"/>
          <w:b/>
          <w:bCs/>
          <w:sz w:val="24"/>
          <w:szCs w:val="24"/>
        </w:rPr>
      </w:pPr>
    </w:p>
    <w:p w14:paraId="0FE46FD4">
      <w:pPr>
        <w:tabs>
          <w:tab w:val="center" w:pos="4513"/>
        </w:tabs>
        <w:rPr>
          <w:rFonts w:eastAsia="Times New Roman" w:asciiTheme="majorBidi" w:hAnsiTheme="majorBidi" w:cstheme="majorBidi"/>
          <w:b/>
          <w:bCs/>
          <w:sz w:val="20"/>
          <w:szCs w:val="20"/>
        </w:rPr>
      </w:pPr>
    </w:p>
    <w:p w14:paraId="49A2C0B4">
      <w:pPr>
        <w:tabs>
          <w:tab w:val="center" w:pos="4513"/>
        </w:tabs>
        <w:rPr>
          <w:rFonts w:eastAsia="Times New Roman" w:asciiTheme="majorBidi" w:hAnsiTheme="majorBidi" w:cstheme="majorBidi"/>
          <w:b/>
          <w:bCs/>
          <w:sz w:val="20"/>
          <w:szCs w:val="20"/>
        </w:rPr>
      </w:pPr>
    </w:p>
    <w:p w14:paraId="03C78512">
      <w:pPr>
        <w:tabs>
          <w:tab w:val="center" w:pos="4513"/>
        </w:tabs>
        <w:rPr>
          <w:rFonts w:eastAsia="Times New Roman" w:asciiTheme="majorBidi" w:hAnsiTheme="majorBidi" w:cstheme="majorBidi"/>
          <w:b/>
          <w:bCs/>
          <w:sz w:val="20"/>
          <w:szCs w:val="20"/>
        </w:rPr>
      </w:pPr>
    </w:p>
    <w:p w14:paraId="1848C88D">
      <w:pPr>
        <w:tabs>
          <w:tab w:val="center" w:pos="4513"/>
        </w:tabs>
        <w:rPr>
          <w:rFonts w:eastAsia="Times New Roman" w:asciiTheme="majorBidi" w:hAnsiTheme="majorBidi" w:cstheme="majorBidi"/>
          <w:sz w:val="24"/>
          <w:szCs w:val="24"/>
        </w:rPr>
      </w:pPr>
      <w:r>
        <w:rPr>
          <w:rFonts w:eastAsia="Times New Roman" w:asciiTheme="majorBidi" w:hAnsiTheme="majorBidi" w:cstheme="majorBidi"/>
          <w:b/>
          <w:bCs/>
          <w:sz w:val="20"/>
          <w:szCs w:val="20"/>
        </w:rPr>
        <w:t>Date de soumission</w:t>
      </w:r>
      <w:r>
        <w:rPr>
          <w:rFonts w:eastAsia="Times New Roman" w:asciiTheme="majorBidi" w:hAnsiTheme="majorBidi" w:cstheme="majorBidi"/>
          <w:sz w:val="20"/>
          <w:szCs w:val="20"/>
        </w:rPr>
        <w:t xml:space="preserve"> : </w:t>
      </w:r>
      <w:r>
        <w:rPr>
          <w:rFonts w:hint="default" w:eastAsia="Times New Roman" w:asciiTheme="majorBidi" w:hAnsiTheme="majorBidi" w:cstheme="majorBidi"/>
          <w:sz w:val="20"/>
          <w:szCs w:val="20"/>
          <w:lang w:val="fr-FR"/>
        </w:rPr>
        <w:t>24</w:t>
      </w:r>
      <w:r>
        <w:rPr>
          <w:rFonts w:eastAsia="Times New Roman" w:asciiTheme="majorBidi" w:hAnsiTheme="majorBidi" w:cstheme="majorBidi"/>
          <w:sz w:val="20"/>
          <w:szCs w:val="20"/>
        </w:rPr>
        <w:t>/</w:t>
      </w:r>
      <w:r>
        <w:rPr>
          <w:rFonts w:hint="default" w:eastAsia="Times New Roman" w:asciiTheme="majorBidi" w:hAnsiTheme="majorBidi" w:cstheme="majorBidi"/>
          <w:sz w:val="20"/>
          <w:szCs w:val="20"/>
          <w:lang w:val="fr-FR"/>
        </w:rPr>
        <w:t>09</w:t>
      </w:r>
      <w:r>
        <w:rPr>
          <w:rFonts w:eastAsia="Times New Roman" w:asciiTheme="majorBidi" w:hAnsiTheme="majorBidi" w:cstheme="majorBidi"/>
          <w:sz w:val="20"/>
          <w:szCs w:val="20"/>
        </w:rPr>
        <w:t>/</w:t>
      </w:r>
      <w:r>
        <w:rPr>
          <w:rFonts w:hint="default" w:eastAsia="Times New Roman" w:asciiTheme="majorBidi" w:hAnsiTheme="majorBidi" w:cstheme="majorBidi"/>
          <w:sz w:val="20"/>
          <w:szCs w:val="20"/>
          <w:lang w:val="fr-FR"/>
        </w:rPr>
        <w:t>2025</w:t>
      </w:r>
      <w:r>
        <w:rPr>
          <w:rFonts w:eastAsia="Times New Roman" w:asciiTheme="majorBidi" w:hAnsiTheme="majorBidi" w:cstheme="majorBidi"/>
          <w:sz w:val="20"/>
          <w:szCs w:val="20"/>
        </w:rPr>
        <w:t xml:space="preserve"> </w:t>
      </w:r>
      <w:r>
        <w:rPr>
          <w:rFonts w:eastAsia="Times New Roman" w:asciiTheme="majorBidi" w:hAnsiTheme="majorBidi" w:cstheme="majorBidi"/>
          <w:sz w:val="20"/>
          <w:szCs w:val="20"/>
        </w:rPr>
        <w:tab/>
      </w:r>
    </w:p>
    <w:p w14:paraId="3B4287DD">
      <w:pPr>
        <w:rPr>
          <w:rFonts w:eastAsia="Times New Roman" w:asciiTheme="majorBidi" w:hAnsiTheme="majorBidi" w:cstheme="majorBidi"/>
          <w:sz w:val="24"/>
          <w:szCs w:val="24"/>
        </w:rPr>
      </w:pPr>
      <w:r>
        <w:rPr>
          <w:rFonts w:eastAsia="Times New Roman" w:asciiTheme="majorBidi" w:hAnsiTheme="majorBidi" w:cstheme="majorBidi"/>
          <w:b/>
          <w:bCs/>
          <w:sz w:val="20"/>
          <w:szCs w:val="20"/>
        </w:rPr>
        <w:t>Date d’acceptation</w:t>
      </w:r>
      <w:r>
        <w:rPr>
          <w:rFonts w:eastAsia="Times New Roman" w:asciiTheme="majorBidi" w:hAnsiTheme="majorBidi" w:cstheme="majorBidi"/>
          <w:sz w:val="20"/>
          <w:szCs w:val="20"/>
        </w:rPr>
        <w:t xml:space="preserve"> : </w:t>
      </w:r>
      <w:r>
        <w:rPr>
          <w:rFonts w:hint="default" w:eastAsia="Times New Roman" w:asciiTheme="majorBidi" w:hAnsiTheme="majorBidi" w:cstheme="majorBidi"/>
          <w:sz w:val="20"/>
          <w:szCs w:val="20"/>
          <w:lang w:val="fr-FR"/>
        </w:rPr>
        <w:t>05</w:t>
      </w:r>
      <w:r>
        <w:rPr>
          <w:rFonts w:eastAsia="Times New Roman" w:asciiTheme="majorBidi" w:hAnsiTheme="majorBidi" w:cstheme="majorBidi"/>
          <w:sz w:val="20"/>
          <w:szCs w:val="20"/>
        </w:rPr>
        <w:t>/</w:t>
      </w:r>
      <w:r>
        <w:rPr>
          <w:rFonts w:hint="default" w:eastAsia="Times New Roman" w:asciiTheme="majorBidi" w:hAnsiTheme="majorBidi" w:cstheme="majorBidi"/>
          <w:sz w:val="20"/>
          <w:szCs w:val="20"/>
          <w:lang w:val="fr-FR"/>
        </w:rPr>
        <w:t>10</w:t>
      </w:r>
      <w:r>
        <w:rPr>
          <w:rFonts w:eastAsia="Times New Roman" w:asciiTheme="majorBidi" w:hAnsiTheme="majorBidi" w:cstheme="majorBidi"/>
          <w:sz w:val="20"/>
          <w:szCs w:val="20"/>
        </w:rPr>
        <w:t>/</w:t>
      </w:r>
      <w:r>
        <w:rPr>
          <w:rFonts w:hint="default" w:eastAsia="Times New Roman" w:asciiTheme="majorBidi" w:hAnsiTheme="majorBidi" w:cstheme="majorBidi"/>
          <w:sz w:val="20"/>
          <w:szCs w:val="20"/>
          <w:lang w:val="fr-FR"/>
        </w:rPr>
        <w:t>2026</w:t>
      </w:r>
      <w:r>
        <w:rPr>
          <w:rFonts w:eastAsia="Times New Roman" w:asciiTheme="majorBidi" w:hAnsiTheme="majorBidi" w:cstheme="majorBidi"/>
          <w:sz w:val="20"/>
          <w:szCs w:val="20"/>
        </w:rPr>
        <w:t xml:space="preserve"> </w:t>
      </w:r>
    </w:p>
    <w:p w14:paraId="0262FD6F">
      <w:pPr>
        <w:rPr>
          <w:rFonts w:eastAsia="Times New Roman" w:asciiTheme="majorBidi" w:hAnsiTheme="majorBidi" w:cstheme="majorBidi"/>
          <w:sz w:val="24"/>
          <w:szCs w:val="24"/>
        </w:rPr>
      </w:pPr>
      <w:r>
        <w:rPr>
          <w:rFonts w:eastAsia="Times New Roman" w:asciiTheme="majorBidi" w:hAnsiTheme="majorBidi" w:cstheme="majorBidi"/>
          <w:b/>
          <w:bCs/>
          <w:sz w:val="20"/>
          <w:szCs w:val="20"/>
        </w:rPr>
        <w:t>Pour citer cet article</w:t>
      </w:r>
      <w:r>
        <w:rPr>
          <w:rFonts w:eastAsia="Times New Roman" w:asciiTheme="majorBidi" w:hAnsiTheme="majorBidi" w:cstheme="majorBidi"/>
          <w:sz w:val="20"/>
          <w:szCs w:val="20"/>
        </w:rPr>
        <w:t xml:space="preserve"> : </w:t>
      </w:r>
    </w:p>
    <w:p w14:paraId="2AA13E21">
      <w:pPr>
        <w:jc w:val="left"/>
        <w:rPr>
          <w:rFonts w:eastAsia="Times New Roman" w:asciiTheme="majorBidi" w:hAnsiTheme="majorBidi" w:cstheme="majorBidi"/>
          <w:sz w:val="20"/>
          <w:szCs w:val="20"/>
        </w:rPr>
      </w:pPr>
      <w:r>
        <w:rPr>
          <w:rFonts w:hint="default" w:eastAsia="Times New Roman" w:asciiTheme="majorBidi" w:hAnsiTheme="majorBidi" w:cstheme="majorBidi"/>
          <w:sz w:val="20"/>
          <w:szCs w:val="20"/>
          <w:lang w:val="fr-FR"/>
        </w:rPr>
        <w:t>HAMDI</w:t>
      </w:r>
      <w:r>
        <w:rPr>
          <w:rFonts w:eastAsia="Times New Roman" w:asciiTheme="majorBidi" w:hAnsiTheme="majorBidi" w:cstheme="majorBidi"/>
          <w:sz w:val="20"/>
          <w:szCs w:val="20"/>
        </w:rPr>
        <w:t>.</w:t>
      </w:r>
      <w:r>
        <w:rPr>
          <w:rFonts w:hint="default" w:eastAsia="Times New Roman" w:asciiTheme="majorBidi" w:hAnsiTheme="majorBidi" w:cstheme="majorBidi"/>
          <w:sz w:val="20"/>
          <w:szCs w:val="20"/>
          <w:lang w:val="fr-FR"/>
        </w:rPr>
        <w:t>S</w:t>
      </w:r>
      <w:r>
        <w:rPr>
          <w:rFonts w:eastAsia="Times New Roman" w:asciiTheme="majorBidi" w:hAnsiTheme="majorBidi" w:cstheme="majorBidi"/>
          <w:sz w:val="20"/>
          <w:szCs w:val="20"/>
        </w:rPr>
        <w:t>. (20</w:t>
      </w:r>
      <w:r>
        <w:rPr>
          <w:rFonts w:hint="default" w:eastAsia="Times New Roman" w:asciiTheme="majorBidi" w:hAnsiTheme="majorBidi" w:cstheme="majorBidi"/>
          <w:sz w:val="20"/>
          <w:szCs w:val="20"/>
          <w:lang w:val="fr-FR"/>
        </w:rPr>
        <w:t>25</w:t>
      </w:r>
      <w:r>
        <w:rPr>
          <w:rFonts w:eastAsia="Times New Roman" w:asciiTheme="majorBidi" w:hAnsiTheme="majorBidi" w:cstheme="majorBidi"/>
          <w:sz w:val="20"/>
          <w:szCs w:val="20"/>
        </w:rPr>
        <w:t>) «</w:t>
      </w:r>
      <w:r>
        <w:rPr>
          <w:rFonts w:ascii="Times New Roman" w:hAnsi="Times New Roman" w:cs="Times New Roman"/>
          <w:b w:val="0"/>
          <w:bCs w:val="0"/>
          <w:sz w:val="20"/>
          <w:szCs w:val="20"/>
        </w:rPr>
        <w:t>L’acceptation de l’innovation dans la formation à travers l’intégration d’un cursus axé sur les soft skills</w:t>
      </w:r>
      <w:r>
        <w:rPr>
          <w:rFonts w:eastAsia="Times New Roman" w:asciiTheme="majorBidi" w:hAnsiTheme="majorBidi" w:cstheme="majorBidi"/>
          <w:sz w:val="20"/>
          <w:szCs w:val="20"/>
        </w:rPr>
        <w:t xml:space="preserve"> », Revue Internationale Multidisciplinaire D’Economie et de Gestion d’Economie et de Gestion «</w:t>
      </w:r>
      <w:r>
        <w:rPr>
          <w:rFonts w:ascii="Book Antiqua" w:hAnsi="Book Antiqua"/>
          <w:sz w:val="20"/>
        </w:rPr>
        <w:t>Volume XX : Numéro YY</w:t>
      </w:r>
      <w:r>
        <w:rPr>
          <w:rFonts w:eastAsia="Times New Roman" w:asciiTheme="majorBidi" w:hAnsiTheme="majorBidi" w:cstheme="majorBidi"/>
          <w:sz w:val="20"/>
          <w:szCs w:val="20"/>
        </w:rPr>
        <w:t xml:space="preserve">» pp : - </w:t>
      </w:r>
    </w:p>
    <w:p w14:paraId="06D93151">
      <w:pPr>
        <w:rPr>
          <w:rFonts w:eastAsia="Times New Roman" w:asciiTheme="majorBidi" w:hAnsiTheme="majorBidi" w:cstheme="majorBidi"/>
          <w:b/>
          <w:bCs/>
        </w:rPr>
      </w:pPr>
      <w:r>
        <w:rPr>
          <w:rFonts w:eastAsia="Times New Roman" w:asciiTheme="majorBidi" w:hAnsiTheme="majorBidi" w:cstheme="majorBidi"/>
          <w:b/>
          <w:bCs/>
        </w:rPr>
        <w:t xml:space="preserve">Digital Object Identifier (DOI) : </w:t>
      </w:r>
    </w:p>
    <w:p w14:paraId="554592D1">
      <w:pPr>
        <w:widowControl w:val="0"/>
        <w:suppressAutoHyphens/>
        <w:jc w:val="center"/>
        <w:rPr>
          <w:sz w:val="20"/>
          <w:szCs w:val="20"/>
          <w:lang w:val="en-US"/>
        </w:rPr>
      </w:pPr>
      <w:r>
        <w:rPr>
          <w:sz w:val="20"/>
          <w:szCs w:val="20"/>
          <w:lang w:val="en-US"/>
        </w:rPr>
        <w:t>Author(s) agree that this article remain permanently open access under the terms of the Creative Commons Attribution License 4.0 International License</w:t>
      </w:r>
    </w:p>
    <w:p w14:paraId="691E4413">
      <w:pPr>
        <w:widowControl w:val="0"/>
        <w:suppressAutoHyphens/>
        <w:jc w:val="center"/>
        <w:rPr>
          <w:sz w:val="20"/>
          <w:szCs w:val="20"/>
          <w:lang w:val="en-US"/>
        </w:rPr>
      </w:pPr>
      <w:r>
        <w:rPr>
          <w:sz w:val="20"/>
          <w:szCs w:val="20"/>
        </w:rPr>
        <w:drawing>
          <wp:inline distT="0" distB="0" distL="0" distR="0">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cstate="print"/>
                    <a:srcRect/>
                    <a:stretch>
                      <a:fillRect/>
                    </a:stretch>
                  </pic:blipFill>
                  <pic:spPr>
                    <a:xfrm>
                      <a:off x="0" y="0"/>
                      <a:ext cx="790575" cy="304800"/>
                    </a:xfrm>
                    <a:prstGeom prst="rect">
                      <a:avLst/>
                    </a:prstGeom>
                    <a:noFill/>
                    <a:ln w="9525">
                      <a:noFill/>
                      <a:miter lim="800000"/>
                      <a:headEnd/>
                      <a:tailEnd/>
                    </a:ln>
                  </pic:spPr>
                </pic:pic>
              </a:graphicData>
            </a:graphic>
          </wp:inline>
        </w:drawing>
      </w:r>
    </w:p>
    <w:p w14:paraId="0DB5E63C">
      <w:pPr>
        <w:widowControl w:val="0"/>
        <w:suppressAutoHyphens/>
        <w:jc w:val="center"/>
        <w:rPr>
          <w:sz w:val="20"/>
          <w:szCs w:val="20"/>
          <w:lang w:val="en-US"/>
        </w:rPr>
      </w:pPr>
    </w:p>
    <w:p w14:paraId="4926792C">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Résumé </w:t>
      </w:r>
    </w:p>
    <w:p w14:paraId="1347C7BA">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eastAsia="Times New Roman" w:cs="Times New Roman"/>
          <w:sz w:val="24"/>
          <w:szCs w:val="24"/>
          <w:lang w:eastAsia="fr-FR"/>
        </w:rPr>
        <w:t xml:space="preserve">Cette recherche a pour objectif de comprendre le comportement de l’étudiant </w:t>
      </w:r>
      <w:r>
        <w:rPr>
          <w:rFonts w:ascii="Times New Roman" w:hAnsi="Times New Roman" w:eastAsia="Times New Roman" w:cs="Times New Roman"/>
          <w:color w:val="000000"/>
          <w:sz w:val="24"/>
          <w:szCs w:val="24"/>
          <w:lang w:eastAsia="fr-FR"/>
        </w:rPr>
        <w:t>vis-à-vis de l’adoption des soft skills</w:t>
      </w:r>
      <w:r>
        <w:rPr>
          <w:rFonts w:ascii="Times New Roman" w:hAnsi="Times New Roman" w:cs="Times New Roman"/>
          <w:color w:val="000000"/>
          <w:sz w:val="24"/>
          <w:szCs w:val="24"/>
          <w:shd w:val="clear" w:color="auto" w:fill="FFFFFF"/>
        </w:rPr>
        <w:t>. Une étude quantitative a été effectuée au moyen d’un sondage auprès d’un échantillon de 401 étudiants. Les résultats montrent que l’utilité perçu, la facilité d’utilisation et l’engagement influencent positivement et significativement l’attitude des étudiants envers l’apprentissage des soft-skills qui, à leur tour, affecte leur motivation qui, à leur tour, influencent l’intention d’apprentissage De plus l’attitude et la motivation possèdent un statut médiateur dans les relations investiguées.</w:t>
      </w:r>
    </w:p>
    <w:p w14:paraId="4B8A05B1">
      <w:pPr>
        <w:autoSpaceDE w:val="0"/>
        <w:autoSpaceDN w:val="0"/>
        <w:adjustRightInd w:val="0"/>
        <w:rPr>
          <w:rFonts w:asciiTheme="majorBidi" w:hAnsiTheme="majorBidi" w:cstheme="majorBidi"/>
          <w:sz w:val="24"/>
          <w:szCs w:val="24"/>
        </w:rPr>
      </w:pPr>
    </w:p>
    <w:p w14:paraId="74413F27">
      <w:pPr>
        <w:rPr>
          <w:rFonts w:asciiTheme="majorBidi" w:hAnsiTheme="majorBidi" w:cstheme="majorBidi"/>
          <w:b/>
          <w:bCs/>
          <w:sz w:val="24"/>
          <w:szCs w:val="24"/>
        </w:rPr>
      </w:pPr>
      <w:r>
        <w:rPr>
          <w:rFonts w:asciiTheme="majorBidi" w:hAnsiTheme="majorBidi" w:cstheme="majorBidi"/>
          <w:b/>
          <w:bCs/>
          <w:sz w:val="24"/>
          <w:szCs w:val="24"/>
        </w:rPr>
        <w:t xml:space="preserve">Mots clés : </w:t>
      </w:r>
      <w:r>
        <w:rPr>
          <w:rFonts w:ascii="Times New Roman" w:hAnsi="Times New Roman" w:cs="Times New Roman"/>
          <w:color w:val="0D0D0D"/>
          <w:sz w:val="24"/>
          <w:szCs w:val="24"/>
          <w:shd w:val="clear" w:color="auto" w:fill="FFFFFF"/>
        </w:rPr>
        <w:t>Soft skills ; attitude ; motivation ; intention d’apprentissage ; TAM</w:t>
      </w:r>
    </w:p>
    <w:p w14:paraId="315396BD">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Abstract </w:t>
      </w:r>
    </w:p>
    <w:p w14:paraId="375475B5">
      <w:pPr>
        <w:spacing w:after="200" w:line="240" w:lineRule="auto"/>
        <w:jc w:val="both"/>
        <w:rPr>
          <w:rFonts w:ascii="Times New Roman" w:hAnsi="Times New Roman" w:cs="Times New Roman"/>
          <w:b/>
          <w:bCs/>
          <w:sz w:val="24"/>
          <w:szCs w:val="24"/>
          <w:lang w:val="en-US"/>
        </w:rPr>
      </w:pPr>
      <w:r>
        <w:rPr>
          <w:rFonts w:ascii="Times New Roman" w:hAnsi="Times New Roman" w:cs="Times New Roman"/>
          <w:sz w:val="24"/>
          <w:szCs w:val="24"/>
        </w:rPr>
        <w:t>This research aims to understand student behavior regarding the adoption of soft skills. A quantitative study was conducted through a survey of a sample of 401 students. The results show that perceived usefulness, ease of use, and engagement positively and significantly influence students’ attitudes toward learning soft skills, which in turn affect their motivation, and subsequently influence their learning intention. Moreover, both attitude and motivation play a mediating role in the investigated relationships.</w:t>
      </w:r>
    </w:p>
    <w:p w14:paraId="2864F2DE">
      <w:pPr>
        <w:spacing w:after="200" w:line="240" w:lineRule="auto"/>
        <w:jc w:val="both"/>
        <w:rPr>
          <w:rFonts w:ascii="Times New Roman" w:hAnsi="Times New Roman" w:cs="Times New Roman"/>
          <w:sz w:val="24"/>
          <w:szCs w:val="24"/>
          <w:lang w:val="en-US"/>
        </w:rPr>
      </w:pPr>
      <w:r>
        <w:rPr>
          <w:rFonts w:asciiTheme="majorBidi" w:hAnsiTheme="majorBidi" w:cstheme="majorBidi"/>
          <w:b/>
          <w:bCs/>
          <w:sz w:val="24"/>
          <w:szCs w:val="24"/>
        </w:rPr>
        <w:t>Keywords :</w:t>
      </w:r>
      <w:r>
        <w:rPr>
          <w:rFonts w:ascii="Times New Roman" w:hAnsi="Times New Roman" w:cs="Times New Roman"/>
          <w:sz w:val="24"/>
          <w:szCs w:val="24"/>
          <w:lang w:val="en-US"/>
        </w:rPr>
        <w:t>Soft skills; attitude; motivation; intention of learning; TAM</w:t>
      </w:r>
    </w:p>
    <w:p w14:paraId="7FF33078">
      <w:pPr>
        <w:pBdr>
          <w:bottom w:val="single" w:color="auto" w:sz="6" w:space="1"/>
        </w:pBdr>
        <w:rPr>
          <w:rFonts w:asciiTheme="majorBidi" w:hAnsiTheme="majorBidi" w:cstheme="majorBidi"/>
          <w:b/>
          <w:bCs/>
          <w:sz w:val="24"/>
          <w:szCs w:val="24"/>
        </w:rPr>
      </w:pPr>
    </w:p>
    <w:p w14:paraId="254697E2">
      <w:pPr>
        <w:rPr>
          <w:rFonts w:asciiTheme="majorBidi" w:hAnsiTheme="majorBidi" w:cstheme="majorBidi"/>
          <w:sz w:val="24"/>
          <w:szCs w:val="24"/>
        </w:rPr>
      </w:pPr>
    </w:p>
    <w:p w14:paraId="74E79CF8">
      <w:pPr>
        <w:rPr>
          <w:rFonts w:asciiTheme="majorBidi" w:hAnsiTheme="majorBidi" w:cstheme="majorBidi"/>
          <w:b/>
          <w:bCs/>
          <w:sz w:val="24"/>
          <w:szCs w:val="24"/>
        </w:rPr>
      </w:pPr>
    </w:p>
    <w:p w14:paraId="2874088F">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Introduction</w:t>
      </w:r>
    </w:p>
    <w:p w14:paraId="10E05C32">
      <w:pPr>
        <w:spacing w:before="100" w:beforeAutospacing="1" w:after="100" w:afterAutospacing="1" w:line="24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Dans un marché du travail mondialisé et en constante évolution, la majorité des emplois requièrent désormais un certain niveau de compétences. Les employés se trouvent ainsi contraints de s’adapter en permanence afin de préserver leur employabilité dans un environnement hautement compétitif. Or, les établissements universitaires sont souvent critiqués pour leur manque d’adéquation avec les besoins réels du marché, ce qui place l’apprentissage et le développement des compétences au cœur des préoccupations de l’enseignement supérieur. Cette démarche vise à combler l’écart entre les capacités acquises par les étudiants et les exigences professionnelles, tout en répondant à l’idée selon laquelle l’université formerait des diplômés peu adaptés au marché de l’emploi.</w:t>
      </w:r>
    </w:p>
    <w:p w14:paraId="60F812E6">
      <w:pPr>
        <w:spacing w:before="100" w:beforeAutospacing="1" w:after="100" w:afterAutospacing="1" w:line="240" w:lineRule="auto"/>
        <w:jc w:val="both"/>
        <w:rPr>
          <w:rFonts w:ascii="Times New Roman" w:hAnsi="Times New Roman" w:eastAsia="Times New Roman" w:cs="Times New Roman"/>
          <w:color w:val="000000"/>
          <w:sz w:val="24"/>
          <w:szCs w:val="24"/>
          <w:shd w:val="clear" w:color="auto" w:fill="FFFFFF"/>
          <w:lang w:eastAsia="fr-FR"/>
        </w:rPr>
      </w:pPr>
      <w:r>
        <w:rPr>
          <w:rFonts w:ascii="Times New Roman" w:hAnsi="Times New Roman" w:eastAsia="Times New Roman" w:cs="Times New Roman"/>
          <w:color w:val="000000"/>
          <w:sz w:val="24"/>
          <w:szCs w:val="24"/>
          <w:lang w:eastAsia="fr-FR"/>
        </w:rPr>
        <w:t>De nombreuses recherches soulignent que les résultats obtenus en matière de développement de carrière après l’obtention des diplômes ne répondent pas toujours aux attentes des employeurs (Deveci &amp; Nunn, 2018). D’où l’importance d’instaurer chez les étudiants un climat de confiance quant à leurs compétences et aptitude. Dans ce contexte, la transformation actuelle du marché du travail dicte une nouvelle orientation de la formation universitaire. Il devient indispensable de tenir compte de facteurs tels que la mondialisation, la diversité culturelle ou encore l’évolution technologique. L’examen de ces éléments permet non seulement d’anticiper les défis de l’environnement socio-économique contemporain, mais aussi de s’inspirer des expériences réussies de divers contextes (Bizami et al., 2022).</w:t>
      </w:r>
    </w:p>
    <w:p w14:paraId="3A918DA1">
      <w:pPr>
        <w:spacing w:after="0" w:line="24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L’enseignement, de par son formalisme, tend aujourd’hui à intégrer le développement des compétences générales comme un levier majeur. Cela se traduit par l’élaboration de cours, de programmes d’études et de syllabus adaptés aux différentes disciplines académiques (Bizami et al., 2022). Par ailleurs, la digitalisation et la transformation des modes de communication imposent de repenser les interactions sociales. Dès lors, il devient crucial de renforcer chez les étudiants des compétences transversales adaptées et d’accorder une attention particulière à la dimension pédagogique de ces pratiques dans le cadre institutionnel.</w:t>
      </w:r>
    </w:p>
    <w:p w14:paraId="3D481B34">
      <w:pPr>
        <w:spacing w:before="100" w:beforeAutospacing="1" w:after="100" w:afterAutospacing="1" w:line="24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 xml:space="preserve">La littérature distingue principalement deux approches pour le développement des compétences douces. La première consiste à proposer une formation explicite par le biais de cours et de modules spécifiques intégrés au programme. La seconde mise sur l’exploitation du potentiel des disciplines académiques, combinée à l’apprentissage non formel et aux activités extrascolaires. Dans les deux cas, il importe de vérifier la pertinence de cette orientation en analysant les comportements des étudiants face à ces nouvelles pratiques pédagogiques. En d’autres termes, avant d’introduire de nouveaux cursus centrés sur le développement des </w:t>
      </w:r>
      <w:r>
        <w:rPr>
          <w:rFonts w:ascii="Times New Roman" w:hAnsi="Times New Roman" w:eastAsia="Times New Roman" w:cs="Times New Roman"/>
          <w:i/>
          <w:iCs/>
          <w:color w:val="000000"/>
          <w:sz w:val="24"/>
          <w:szCs w:val="24"/>
          <w:lang w:eastAsia="fr-FR"/>
        </w:rPr>
        <w:t>soft skills</w:t>
      </w:r>
      <w:r>
        <w:rPr>
          <w:rFonts w:ascii="Times New Roman" w:hAnsi="Times New Roman" w:eastAsia="Times New Roman" w:cs="Times New Roman"/>
          <w:color w:val="000000"/>
          <w:sz w:val="24"/>
          <w:szCs w:val="24"/>
          <w:lang w:eastAsia="fr-FR"/>
        </w:rPr>
        <w:t xml:space="preserve"> dans l’enseignement supérieur, il semble essentiel de comprendre les attitudes et intentions des étudiants quant à leur adoption.</w:t>
      </w:r>
      <w:r>
        <w:rPr>
          <w:rFonts w:ascii="Times New Roman" w:hAnsi="Times New Roman" w:eastAsia="Times New Roman" w:cs="Times New Roman"/>
          <w:color w:val="000000"/>
          <w:sz w:val="24"/>
          <w:szCs w:val="24"/>
          <w:shd w:val="clear" w:color="auto" w:fill="FFFFFF"/>
          <w:lang w:eastAsia="fr-FR"/>
        </w:rPr>
        <w:t xml:space="preserve"> </w:t>
      </w:r>
    </w:p>
    <w:p w14:paraId="01F46DA9">
      <w:pPr>
        <w:spacing w:before="100" w:beforeAutospacing="1" w:after="100" w:afterAutospacing="1" w:line="240" w:lineRule="auto"/>
        <w:jc w:val="both"/>
        <w:rPr>
          <w:rFonts w:ascii="Times New Roman" w:hAnsi="Times New Roman" w:eastAsia="Times New Roman" w:cs="Times New Roman"/>
          <w:color w:val="000000"/>
          <w:sz w:val="24"/>
          <w:szCs w:val="24"/>
          <w:lang w:eastAsia="fr-FR"/>
        </w:rPr>
      </w:pPr>
      <w:r>
        <w:rPr>
          <w:rFonts w:ascii="Times New Roman" w:hAnsi="Times New Roman" w:eastAsia="Times New Roman" w:cs="Times New Roman"/>
          <w:color w:val="000000"/>
          <w:sz w:val="24"/>
          <w:szCs w:val="24"/>
          <w:lang w:eastAsia="fr-FR"/>
        </w:rPr>
        <w:t xml:space="preserve">Dans ce cadre, notre recherche propose d’appliquer la nouvelle version du Technology Acceptance Model (TAM) à l’étude de l’acceptation d’une formation axée sur les </w:t>
      </w:r>
      <w:r>
        <w:rPr>
          <w:rFonts w:ascii="Times New Roman" w:hAnsi="Times New Roman" w:eastAsia="Times New Roman" w:cs="Times New Roman"/>
          <w:i/>
          <w:iCs/>
          <w:color w:val="000000"/>
          <w:sz w:val="24"/>
          <w:szCs w:val="24"/>
          <w:lang w:eastAsia="fr-FR"/>
        </w:rPr>
        <w:t>soft skills</w:t>
      </w:r>
      <w:r>
        <w:rPr>
          <w:rFonts w:ascii="Times New Roman" w:hAnsi="Times New Roman" w:eastAsia="Times New Roman" w:cs="Times New Roman"/>
          <w:color w:val="000000"/>
          <w:sz w:val="24"/>
          <w:szCs w:val="24"/>
          <w:lang w:eastAsia="fr-FR"/>
        </w:rPr>
        <w:t>. L’objectif est de mieux saisir la motivation et l’intention des étudiants vis-à-vis de l’apprentissage fondé sur ces compétences. Ainsi, la problématique que nous retenons peut se formuler comme suit :</w:t>
      </w:r>
    </w:p>
    <w:p w14:paraId="1879A30A">
      <w:pPr>
        <w:spacing w:before="100" w:beforeAutospacing="1" w:after="100" w:afterAutospacing="1" w:line="240" w:lineRule="auto"/>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lang w:eastAsia="fr-FR"/>
        </w:rPr>
        <w:t xml:space="preserve">Quels sont les antécédents de la motivation et de l’intention des étudiants à l’égard de l’apprentissage basé sur les </w:t>
      </w:r>
      <w:r>
        <w:rPr>
          <w:rFonts w:ascii="Times New Roman" w:hAnsi="Times New Roman" w:eastAsia="Times New Roman" w:cs="Times New Roman"/>
          <w:i/>
          <w:iCs/>
          <w:color w:val="000000"/>
          <w:sz w:val="24"/>
          <w:szCs w:val="24"/>
          <w:lang w:eastAsia="fr-FR"/>
        </w:rPr>
        <w:t>soft skills</w:t>
      </w:r>
      <w:r>
        <w:rPr>
          <w:rFonts w:ascii="Times New Roman" w:hAnsi="Times New Roman" w:eastAsia="Times New Roman" w:cs="Times New Roman"/>
          <w:color w:val="000000"/>
          <w:sz w:val="24"/>
          <w:szCs w:val="24"/>
          <w:lang w:eastAsia="fr-FR"/>
        </w:rPr>
        <w:t xml:space="preserve"> ?</w:t>
      </w:r>
    </w:p>
    <w:p w14:paraId="6DD59BF9">
      <w:pPr>
        <w:pStyle w:val="14"/>
        <w:numPr>
          <w:ilvl w:val="0"/>
          <w:numId w:val="1"/>
        </w:numPr>
        <w:autoSpaceDE w:val="0"/>
        <w:autoSpaceDN w:val="0"/>
        <w:adjustRightInd w:val="0"/>
        <w:rPr>
          <w:rFonts w:asciiTheme="majorBidi" w:hAnsiTheme="majorBidi" w:cstheme="majorBidi"/>
          <w:b/>
          <w:bCs/>
          <w:sz w:val="24"/>
          <w:szCs w:val="24"/>
        </w:rPr>
      </w:pPr>
      <w:r>
        <w:rPr>
          <w:rFonts w:ascii="Times New Roman" w:hAnsi="Times New Roman"/>
          <w:b/>
          <w:bCs/>
          <w:color w:val="auto"/>
          <w:sz w:val="24"/>
          <w:szCs w:val="24"/>
        </w:rPr>
        <w:t>Revue de la littérature et développement des hypothèses de la recherche</w:t>
      </w:r>
    </w:p>
    <w:p w14:paraId="36CD8AAE">
      <w:pPr>
        <w:pStyle w:val="14"/>
        <w:numPr>
          <w:ilvl w:val="1"/>
          <w:numId w:val="1"/>
        </w:numPr>
        <w:autoSpaceDE w:val="0"/>
        <w:autoSpaceDN w:val="0"/>
        <w:adjustRightInd w:val="0"/>
        <w:rPr>
          <w:rFonts w:asciiTheme="majorBidi" w:hAnsiTheme="majorBidi" w:cstheme="majorBidi"/>
          <w:b/>
          <w:bCs/>
          <w:sz w:val="24"/>
          <w:szCs w:val="24"/>
        </w:rPr>
      </w:pPr>
      <w:r>
        <w:rPr>
          <w:rFonts w:hint="default" w:asciiTheme="majorBidi" w:hAnsiTheme="majorBidi" w:cstheme="majorBidi"/>
          <w:b/>
          <w:bCs/>
          <w:sz w:val="24"/>
          <w:szCs w:val="24"/>
          <w:lang w:val="fr-FR"/>
        </w:rPr>
        <w:t xml:space="preserve">  </w:t>
      </w:r>
      <w:r>
        <w:rPr>
          <w:rFonts w:ascii="Times New Roman" w:hAnsi="Times New Roman"/>
          <w:b/>
          <w:bCs/>
          <w:color w:val="auto"/>
          <w:sz w:val="24"/>
          <w:szCs w:val="24"/>
        </w:rPr>
        <w:t>Les soft-skills</w:t>
      </w:r>
    </w:p>
    <w:p w14:paraId="06684A6B">
      <w:pPr>
        <w:pStyle w:val="8"/>
        <w:jc w:val="both"/>
      </w:pPr>
      <w:r>
        <w:t>Les compétences douces (</w:t>
      </w:r>
      <w:r>
        <w:rPr>
          <w:rStyle w:val="6"/>
        </w:rPr>
        <w:t>soft skills</w:t>
      </w:r>
      <w:r>
        <w:t>) désignent l’ensemble des aptitudes socio-émotionnelles, comportementales et cognitives permettant à un individu d’interagir efficacement avec autrui, de s’adapter à des environnements complexes et d’évoluer dans des contextes professionnels en mutation. Contrairement aux compétences techniques (</w:t>
      </w:r>
      <w:r>
        <w:rPr>
          <w:rStyle w:val="6"/>
        </w:rPr>
        <w:t>hard skills</w:t>
      </w:r>
      <w:r>
        <w:t>), elles relèvent davantage du savoir-être et englobent la capacité à collaborer, communiquer, résoudre des problèmes ou faire preuve d’empathie.</w:t>
      </w:r>
    </w:p>
    <w:p w14:paraId="154A7858">
      <w:pPr>
        <w:pStyle w:val="8"/>
        <w:jc w:val="both"/>
      </w:pPr>
      <w:r>
        <w:t xml:space="preserve">Selon Meenakshi (2009), les </w:t>
      </w:r>
      <w:r>
        <w:rPr>
          <w:rStyle w:val="6"/>
        </w:rPr>
        <w:t>soft skills</w:t>
      </w:r>
      <w:r>
        <w:t xml:space="preserve"> regroupent diverses catégories telles que les compétences interpersonnelles et intrapersonnelles, l’intelligence émotionnelle, la pensée critique, la communication, le travail en équipe, le leadership et la gestion de projets. Frahan (2017) les définit comme « l’art de nouer, d’entretenir et de développer des relations positives et productives avec les autres », tandis que Faulx et Peters (2011) y voient « un ensemble intégré de compétences permettant d’interagir avec l’environnement humain (individus, groupes, organisations) dans un ou plusieurs contextes spécifiques ».</w:t>
      </w:r>
    </w:p>
    <w:p w14:paraId="5A12F0E4">
      <w:pPr>
        <w:pStyle w:val="8"/>
        <w:jc w:val="both"/>
      </w:pPr>
      <w:r>
        <w:t xml:space="preserve">Les recherches récentes ont élargi cette définition en distinguant les </w:t>
      </w:r>
      <w:r>
        <w:rPr>
          <w:rStyle w:val="6"/>
        </w:rPr>
        <w:t>soft skills</w:t>
      </w:r>
      <w:r>
        <w:t xml:space="preserve"> des traits de personnalité : il s’agit de compétences malléables et mesurables, susceptibles d’être développées par la formation et l’expérience (Heckman &amp; Kautz, 2014 ; Siddiqui &amp; Lokhande, 2019). Dans un contexte post-pandémique marqué par la transformation numérique et l’enseignement hybride, plusieurs études (Succi &amp; Canovi, 2020 ; Zahn, 2025) soulignent l’émergence de nouvelles dimensions, telles que la communication virtuelle, la collaboration à distance, la résilience numérique et la capacité à apprendre de manière autonome dans des environnements technologiques évolutifs. Ces compétences sont désormais considérées comme essentielles tant dans l’enseignement supérieur que sur le marché du travail.</w:t>
      </w:r>
    </w:p>
    <w:p w14:paraId="64D94F0D">
      <w:pPr>
        <w:pStyle w:val="8"/>
        <w:jc w:val="both"/>
      </w:pPr>
      <w:r>
        <w:t>La recherche met également en évidence le rôle des dispositifs pédagogiques innovants dans le développement de ces compétences. Schering et al. (2025) montrent que les approches actives, comme les simulations d’entreprise en équipe, renforcent des compétences telles que la prise de décision, la résolution de problèmes et la coopération. De même, Tang et al. (2022) démontrent l’efficacité des projets collaboratifs en ligne et de l’apprentissage expérientiel pour cultiver l’adaptabilité, la pensée critique et la créativité chez les étudiants.</w:t>
      </w:r>
    </w:p>
    <w:p w14:paraId="58F2F749">
      <w:pPr>
        <w:pStyle w:val="8"/>
        <w:jc w:val="both"/>
      </w:pPr>
      <w:r>
        <w:t xml:space="preserve">Depuis la pandémie de COVID-19, les établissements d’enseignement supérieur ont massivement intégré les technologies numériques et les dispositifs hybrides d’apprentissage, transformant ainsi la manière dont les compétences notamment les </w:t>
      </w:r>
      <w:r>
        <w:rPr>
          <w:rStyle w:val="6"/>
        </w:rPr>
        <w:t>soft skills</w:t>
      </w:r>
      <w:r>
        <w:t xml:space="preserve"> sont développées et évaluées (Hoofman, 2021). L’utilisation de plateformes de visioconférence telles que Google Hangouts, combinant séances synchrones interactives et cours asynchrones, a permis de renforcer la participation et la collaboration, même chez les étudiants les plus introvertis. Ces approches hybrides ne se limitent pas à la transmission du savoir ; elles favorisent également le développement de compétences transversales comme la communication, l’autonomie et la gestion du temps.</w:t>
      </w:r>
    </w:p>
    <w:p w14:paraId="7FD6D79C">
      <w:pPr>
        <w:pStyle w:val="8"/>
        <w:jc w:val="both"/>
      </w:pPr>
      <w:r>
        <w:t xml:space="preserve">Les avancées technologiques récentes, telles que l’intelligence artificielle (IA), la réalité augmentée, la blockchain ou le </w:t>
      </w:r>
      <w:r>
        <w:rPr>
          <w:rStyle w:val="6"/>
        </w:rPr>
        <w:t>big data</w:t>
      </w:r>
      <w:r>
        <w:t xml:space="preserve">, redéfinissent aujourd’hui les pratiques pédagogiques universitaires (Truong &amp; Diep, 2023). Ces innovations contribuent à rendre l’apprentissage plus interactif, accessible et motivant, tout en renforçant des compétences clés comme la collaboration, la créativité et la pensée critique, au cœur même des </w:t>
      </w:r>
      <w:r>
        <w:rPr>
          <w:rStyle w:val="6"/>
        </w:rPr>
        <w:t>soft skills</w:t>
      </w:r>
      <w:r>
        <w:t>.</w:t>
      </w:r>
    </w:p>
    <w:p w14:paraId="7FFD7270">
      <w:pPr>
        <w:pStyle w:val="8"/>
        <w:jc w:val="both"/>
      </w:pPr>
      <w:r>
        <w:t>Enfin, Mulenga et Marban (2020) soulignent que l’usage accru des plateformes sociales et collaboratives (WhatsApp, Facebook, YouTube, Skype, etc.) a joué un rôle déterminant dans la continuité pédagogique durant la crise sanitaire, favorisant l’acquisition de compétences communicationnelles et organisationnelles. De leur côté, Haleem et al. (2022) démontrent que les environnements d’apprentissage en ligne stimulent l’engagement, la motivation et la persévérance des étudiants, renforçant ainsi l’émergence de compétences transversales cruciales telles que la pensée critique et la résolution de problèmes.</w:t>
      </w:r>
    </w:p>
    <w:p w14:paraId="43D8B8C6">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En somme, les soft skills occupent aujourd’hui une place essentielle dans la formation moderne, soutenue par les avancées pédagogiques et technologiques. Elles favorisent l’adaptabilité, l’employabilité et la réussite des étudiants dans un environnement d’apprentissage profondément transformé par le numérique et l’enseignement hybride post-COVID.</w:t>
      </w:r>
    </w:p>
    <w:p w14:paraId="58DEB3F5">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Leur développement dépend largement de l’adoption des innovations pédagogiques, analysée ici à travers le Technology Acceptance Model (TAM). Selon ce modèle, l’utilité perçue (Perceived Usefulness, PU) et la facilité d’utilisation perçue (Perceived Ease of Use, PEOU) influencent directement l’attitude, l’intention et le comportement d’adoption des étudiants. Les dispositifs pédagogiques récents sont souvent considérés comme utiles, mais parfois difficiles à utiliser, d’où la nécessité de concevoir des outils d’apprentissage plus simples, accessibles et motivants.</w:t>
      </w:r>
    </w:p>
    <w:p w14:paraId="0D5023F8">
      <w:pPr>
        <w:pStyle w:val="14"/>
        <w:numPr>
          <w:ilvl w:val="1"/>
          <w:numId w:val="1"/>
        </w:numPr>
        <w:autoSpaceDE w:val="0"/>
        <w:autoSpaceDN w:val="0"/>
        <w:adjustRightInd w:val="0"/>
        <w:rPr>
          <w:rFonts w:asciiTheme="majorBidi" w:hAnsiTheme="majorBidi" w:cstheme="majorBidi"/>
          <w:b/>
          <w:bCs/>
          <w:sz w:val="24"/>
          <w:szCs w:val="24"/>
        </w:rPr>
      </w:pPr>
      <w:r>
        <w:rPr>
          <w:rFonts w:hint="default" w:asciiTheme="majorBidi" w:hAnsiTheme="majorBidi" w:cstheme="majorBidi"/>
          <w:b/>
          <w:bCs/>
          <w:sz w:val="24"/>
          <w:szCs w:val="24"/>
          <w:lang w:val="fr-FR"/>
        </w:rPr>
        <w:t xml:space="preserve"> </w:t>
      </w:r>
      <w:r>
        <w:rPr>
          <w:rFonts w:ascii="Times New Roman" w:hAnsi="Times New Roman" w:eastAsia="Times New Roman" w:cs="Times New Roman"/>
          <w:b/>
          <w:bCs/>
          <w:sz w:val="24"/>
          <w:szCs w:val="24"/>
          <w:lang w:eastAsia="fr-FR"/>
        </w:rPr>
        <w:t>Le modèle d’acceptation de la technologie (TAM)</w:t>
      </w:r>
    </w:p>
    <w:p w14:paraId="5FFD9E99">
      <w:pPr>
        <w:pStyle w:val="8"/>
        <w:jc w:val="both"/>
      </w:pPr>
      <w:r>
        <w:t>Le modèle d’acceptation de la technologie (</w:t>
      </w:r>
      <w:r>
        <w:rPr>
          <w:rStyle w:val="6"/>
        </w:rPr>
        <w:t>Technology Acceptance Model</w:t>
      </w:r>
      <w:r>
        <w:t xml:space="preserve"> – TAM), développé par Davis (1989) à partir de la théorie de l’action raisonnée (Fishbein &amp; Ajzen, 1975) et de la théorie du comportement planifié (Ajzen, 1991), explique le processus d’adoption des technologies selon une logique séquentielle. Les variables externes (comme le contexte organisationnel, les normes sociales ou les caractéristiques techniques d’un outil) influencent les croyances des utilisateurs, structurées autour de deux dimensions fondamentales : </w:t>
      </w:r>
      <w:r>
        <w:rPr>
          <w:rStyle w:val="5"/>
          <w:b w:val="0"/>
          <w:bCs w:val="0"/>
        </w:rPr>
        <w:t>l’utilité perçue</w:t>
      </w:r>
      <w:r>
        <w:t xml:space="preserve"> (</w:t>
      </w:r>
      <w:r>
        <w:rPr>
          <w:rStyle w:val="6"/>
        </w:rPr>
        <w:t>perceived usefulness</w:t>
      </w:r>
      <w:r>
        <w:t>) et</w:t>
      </w:r>
      <w:r>
        <w:rPr>
          <w:b/>
          <w:bCs/>
        </w:rPr>
        <w:t xml:space="preserve"> </w:t>
      </w:r>
      <w:r>
        <w:rPr>
          <w:rStyle w:val="5"/>
          <w:b w:val="0"/>
          <w:bCs w:val="0"/>
        </w:rPr>
        <w:t>la facilité d’utilisation perçue</w:t>
      </w:r>
      <w:r>
        <w:t xml:space="preserve"> (</w:t>
      </w:r>
      <w:r>
        <w:rPr>
          <w:rStyle w:val="6"/>
        </w:rPr>
        <w:t>perceived ease of use</w:t>
      </w:r>
      <w:r>
        <w:t>). Ces perceptions façonnent l’attitude de l’individu, déterminent son intention d’usage, puis conduisent à son comportement effectif d’adoption. En d’autres termes, plus une technologie est perçue comme utile et facile à utiliser, plus la probabilité de son adoption est élevée (Venkatesh &amp; Davis, 2000).</w:t>
      </w:r>
    </w:p>
    <w:p w14:paraId="05CDB2EE">
      <w:pPr>
        <w:pStyle w:val="8"/>
        <w:jc w:val="both"/>
      </w:pPr>
      <w:r>
        <w:t>Dans le domaine de l’éducation numérique, de nombreuses études ont confirmé la pertinence du TAM pour comprendre les dynamiques d’adoption technologique. Abdullah et al. (2016) soulignent que l’utilité et la facilité d’utilisation constituent des facteurs déterminants dans l’appropriation des plateformes d’apprentissage en ligne. Yasak et Alias (2015) ont démontré son application efficace dans l’enseignement et la formation techniques et professionnels (EFTP). Plus récemment, Joseph (2020) a mis en évidence que l’acceptation des technologies éducatives et le développement des compétences numériques renforcent directement l’employabilité des diplômés.</w:t>
      </w:r>
    </w:p>
    <w:p w14:paraId="026EC14D">
      <w:pPr>
        <w:pStyle w:val="8"/>
        <w:jc w:val="both"/>
      </w:pPr>
      <w:r>
        <w:t xml:space="preserve">Depuis la pandémie de COVID-19, les travaux sur le TAM se sont intensifiés et élargis pour inclure de nouvelles variables liées à la transformation digitale de l’enseignement supérieur. Par exemple, Al-Azawei et Lundqvist (2021) intègrent la </w:t>
      </w:r>
      <w:r>
        <w:rPr>
          <w:rStyle w:val="5"/>
          <w:b w:val="0"/>
          <w:bCs w:val="0"/>
        </w:rPr>
        <w:t>résilience numérique</w:t>
      </w:r>
      <w:r>
        <w:t>, la</w:t>
      </w:r>
      <w:r>
        <w:rPr>
          <w:b/>
          <w:bCs/>
        </w:rPr>
        <w:t xml:space="preserve"> </w:t>
      </w:r>
      <w:r>
        <w:rPr>
          <w:rStyle w:val="5"/>
          <w:b w:val="0"/>
          <w:bCs w:val="0"/>
        </w:rPr>
        <w:t>motivation intrinsèque</w:t>
      </w:r>
      <w:r>
        <w:rPr>
          <w:b/>
          <w:bCs/>
        </w:rPr>
        <w:t xml:space="preserve"> </w:t>
      </w:r>
      <w:r>
        <w:t>et la</w:t>
      </w:r>
      <w:r>
        <w:rPr>
          <w:b/>
          <w:bCs/>
        </w:rPr>
        <w:t xml:space="preserve"> </w:t>
      </w:r>
      <w:r>
        <w:rPr>
          <w:rStyle w:val="5"/>
          <w:b w:val="0"/>
          <w:bCs w:val="0"/>
        </w:rPr>
        <w:t>confiance technologique</w:t>
      </w:r>
      <w:r>
        <w:t xml:space="preserve"> comme antécédents clés de l’intention d’usage. De même, les modèles dérivés tels que TAM2 (Venkatesh &amp; Davis, 2000), TAM3 (Venkatesh &amp; Bala, 2008) et UTAUT (Venkatesh et al., 2003) intègrent des facteurs sociaux et contextuels (influence des pairs, soutien institutionnel, conditions facilitatrices) qui se sont révélés essentiels dans les environnements d’apprentissage hybrides post-COVID.</w:t>
      </w:r>
    </w:p>
    <w:p w14:paraId="69B09BE0">
      <w:pPr>
        <w:pStyle w:val="8"/>
        <w:jc w:val="both"/>
        <w:rPr>
          <w:b/>
          <w:bCs/>
        </w:rPr>
      </w:pPr>
      <w:r>
        <w:t xml:space="preserve">Les études récentes (Nguyen et al., 2023 ; Almarashdeh, 2022) montrent que la perception de l’utilité des outils numériques est désormais étroitement liée à la qualité de l’interaction sociale et à la capacité des plateformes à soutenir des compétences transversales telles que la collaboration, la communication et l’autonomie autrement dit, les </w:t>
      </w:r>
      <w:r>
        <w:rPr>
          <w:rStyle w:val="6"/>
        </w:rPr>
        <w:t>soft skills</w:t>
      </w:r>
      <w:r>
        <w:t>. Ainsi, l’adoption des technologies éducatives ne dépend plus seulement d’un critère d’efficacité fonctionnelle, mais aussi de leur potentiel à favoriser le développement personnel et professionnel des apprenants dans un écosystème numérique durable.</w:t>
      </w:r>
    </w:p>
    <w:p w14:paraId="379E684E">
      <w:pPr>
        <w:pStyle w:val="14"/>
        <w:numPr>
          <w:ilvl w:val="1"/>
          <w:numId w:val="1"/>
        </w:numPr>
        <w:autoSpaceDE w:val="0"/>
        <w:autoSpaceDN w:val="0"/>
        <w:adjustRightInd w:val="0"/>
        <w:rPr>
          <w:rFonts w:asciiTheme="majorBidi" w:hAnsiTheme="majorBidi" w:cstheme="majorBidi"/>
          <w:b/>
          <w:bCs/>
          <w:sz w:val="24"/>
          <w:szCs w:val="24"/>
        </w:rPr>
      </w:pPr>
      <w:r>
        <w:rPr>
          <w:rFonts w:hint="default" w:ascii="Times New Roman" w:hAnsi="Times New Roman" w:eastAsia="Times New Roman" w:cs="Times New Roman"/>
          <w:b/>
          <w:bCs/>
          <w:color w:val="000000"/>
          <w:sz w:val="24"/>
          <w:szCs w:val="24"/>
          <w:lang w:val="en-US" w:eastAsia="fr-FR"/>
        </w:rPr>
        <w:t>L</w:t>
      </w:r>
      <w:r>
        <w:rPr>
          <w:rFonts w:ascii="Times New Roman" w:hAnsi="Times New Roman" w:eastAsia="Times New Roman" w:cs="Times New Roman"/>
          <w:b/>
          <w:bCs/>
          <w:color w:val="000000"/>
          <w:sz w:val="24"/>
          <w:szCs w:val="24"/>
          <w:lang w:eastAsia="fr-FR"/>
        </w:rPr>
        <w:t>’utilité perçue</w:t>
      </w:r>
    </w:p>
    <w:p w14:paraId="166E0789">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L’utilité perçue, définie par Davis (1989) comme le degré auquel un individu estime que l’usage d’une technologie améliore ses performances, demeure un facteur clé dans les modèles d’adoption des technologies. Elle reflète la croyance que l’intégration d’un outil numérique contribue à améliorer l’efficacité, la productivité ou la qualité du travail réalisé. Dans le contexte de l’enseignement supérieur, elle se manifeste lorsque les étudiants perçoivent que les technologies d’apprentissage plateformes de cours en ligne, espaces collaboratifs, simulateurs, outils d’IA éducative facilitent l’atteinte de leurs objectifs pédagogiques et renforcent leurs compétences transversales.</w:t>
      </w:r>
    </w:p>
    <w:p w14:paraId="5808B69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Tahar et al. (2020) montrent que la perception d’utilité influence directement l’intention d’utiliser les plateformes d’apprentissage numérique, notamment lorsque celles-ci améliorent la qualité des interactions et la gestion du temps. De même, Jung et Yoon (2021) soulignent que les étudiants associent l’utilité perçue à la possibilité de mieux organiser leur apprentissage et d’obtenir de meilleures performances académiques. Ces résultats sont cohérents avec ceux de Kumar et Chand (2019) et de Niniss (2022), qui confirment un lien positif entre l’utilité perçue et l’attitude envers les technologies éducatives.</w:t>
      </w:r>
    </w:p>
    <w:p w14:paraId="0FB943B8">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Les travaux récents mettent cependant en évidence une évolution du concept d’utilité</w:t>
      </w:r>
      <w:r>
        <w:rPr>
          <w:rFonts w:ascii="Times New Roman" w:hAnsi="Times New Roman" w:eastAsia="Times New Roman" w:cs="Times New Roman"/>
          <w:b/>
          <w:bCs/>
          <w:sz w:val="24"/>
          <w:szCs w:val="24"/>
          <w:lang w:eastAsia="fr-FR"/>
        </w:rPr>
        <w:t xml:space="preserve"> </w:t>
      </w:r>
      <w:r>
        <w:rPr>
          <w:rFonts w:ascii="Times New Roman" w:hAnsi="Times New Roman" w:eastAsia="Times New Roman" w:cs="Times New Roman"/>
          <w:sz w:val="24"/>
          <w:szCs w:val="24"/>
          <w:lang w:eastAsia="fr-FR"/>
        </w:rPr>
        <w:t xml:space="preserve">perçue dans un environnement post-COVID marqué par l’hybridation des pratiques d’enseignement. Selon Almarashdeh (2022) et Nguyen et al. (2023), l’utilité d’un dispositif numérique est désormais jugée non seulement à l’aune de son efficacité fonctionnelle, mais aussi de sa capacité à favoriser la motivation, la collaboration, l’autonomie et la communication autant de </w:t>
      </w:r>
      <w:r>
        <w:rPr>
          <w:rFonts w:ascii="Times New Roman" w:hAnsi="Times New Roman" w:eastAsia="Times New Roman" w:cs="Times New Roman"/>
          <w:i/>
          <w:iCs/>
          <w:sz w:val="24"/>
          <w:szCs w:val="24"/>
          <w:lang w:eastAsia="fr-FR"/>
        </w:rPr>
        <w:t>soft skills</w:t>
      </w:r>
      <w:r>
        <w:rPr>
          <w:rFonts w:ascii="Times New Roman" w:hAnsi="Times New Roman" w:eastAsia="Times New Roman" w:cs="Times New Roman"/>
          <w:sz w:val="24"/>
          <w:szCs w:val="24"/>
          <w:lang w:eastAsia="fr-FR"/>
        </w:rPr>
        <w:t xml:space="preserve"> essentielles dans les environnements d’apprentissage flexibles. Par ailleurs, Zaharias et Pappas (2024) insistent sur le rôle des plateformes intelligentes et immersives (réalité augmentée, apprentissage adaptatif, IA générative) dans l’amélioration perçue de la qualité d’apprentissage et de l’expérience utilisateur.</w:t>
      </w:r>
    </w:p>
    <w:p w14:paraId="44FAD63E">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Ainsi, l’utilité perçue ne se réduit plus à une mesure d’efficacité technique, mais constitue également un indicateur de valeur éducative et sociale dans la construction de compétences transversales. En cohérence avec ces constats, nous formulons l’hypothèse suivante :</w:t>
      </w:r>
    </w:p>
    <w:p w14:paraId="63F7BCB0">
      <w:pPr>
        <w:spacing w:before="100" w:beforeAutospacing="1" w:after="100" w:afterAutospacing="1" w:line="240" w:lineRule="auto"/>
        <w:rPr>
          <w:rFonts w:ascii="Times New Roman" w:hAnsi="Times New Roman" w:cs="Times New Roman"/>
          <w:i/>
          <w:iCs/>
          <w:sz w:val="24"/>
          <w:szCs w:val="24"/>
        </w:rPr>
      </w:pPr>
      <w:r>
        <w:rPr>
          <w:rFonts w:ascii="Times New Roman" w:hAnsi="Times New Roman" w:eastAsia="Times New Roman" w:cs="Times New Roman"/>
          <w:i/>
          <w:iCs/>
          <w:sz w:val="24"/>
          <w:szCs w:val="24"/>
          <w:lang w:eastAsia="fr-FR"/>
        </w:rPr>
        <w:t>H1 : L’utilité perçue a un effet positif sur l’attitude des étudiants vis-à-vis de l’apprentissage des soft skills.</w:t>
      </w:r>
    </w:p>
    <w:p w14:paraId="531445D0">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 </w:t>
      </w:r>
    </w:p>
    <w:p w14:paraId="3B57D30B">
      <w:pPr>
        <w:autoSpaceDE w:val="0"/>
        <w:autoSpaceDN w:val="0"/>
        <w:adjustRightInd w:val="0"/>
        <w:rPr>
          <w:rFonts w:asciiTheme="majorBidi" w:hAnsiTheme="majorBidi" w:cstheme="majorBidi"/>
          <w:sz w:val="24"/>
          <w:szCs w:val="24"/>
        </w:rPr>
      </w:pPr>
    </w:p>
    <w:p w14:paraId="1DE40E27">
      <w:pPr>
        <w:pStyle w:val="14"/>
        <w:numPr>
          <w:ilvl w:val="1"/>
          <w:numId w:val="1"/>
        </w:numPr>
        <w:spacing w:after="0" w:line="240" w:lineRule="auto"/>
        <w:ind w:left="1080" w:leftChars="0" w:hanging="720" w:firstLineChars="0"/>
        <w:jc w:val="both"/>
        <w:rPr>
          <w:rFonts w:ascii="Times New Roman" w:hAnsi="Times New Roman" w:cs="Times New Roman"/>
          <w:b/>
          <w:bCs/>
          <w:sz w:val="24"/>
          <w:szCs w:val="24"/>
        </w:rPr>
      </w:pPr>
      <w:r>
        <w:rPr>
          <w:rFonts w:ascii="Times New Roman" w:hAnsi="Times New Roman" w:cs="Times New Roman"/>
          <w:b/>
          <w:bCs/>
          <w:sz w:val="24"/>
          <w:szCs w:val="24"/>
        </w:rPr>
        <w:t>La facilité d’utilisation perçue </w:t>
      </w:r>
    </w:p>
    <w:p w14:paraId="39A139C1">
      <w:pPr>
        <w:pStyle w:val="14"/>
        <w:numPr>
          <w:ilvl w:val="0"/>
          <w:numId w:val="0"/>
        </w:numPr>
        <w:spacing w:after="0" w:line="240" w:lineRule="auto"/>
        <w:ind w:left="360" w:leftChars="0"/>
        <w:jc w:val="both"/>
        <w:rPr>
          <w:rFonts w:ascii="Times New Roman" w:hAnsi="Times New Roman" w:cs="Times New Roman"/>
          <w:b/>
          <w:bCs/>
          <w:sz w:val="24"/>
          <w:szCs w:val="24"/>
        </w:rPr>
      </w:pPr>
    </w:p>
    <w:p w14:paraId="5F55DA97">
      <w:pPr>
        <w:pStyle w:val="14"/>
        <w:numPr>
          <w:ilvl w:val="0"/>
          <w:numId w:val="0"/>
        </w:numPr>
        <w:autoSpaceDE w:val="0"/>
        <w:autoSpaceDN w:val="0"/>
        <w:adjustRightInd w:val="0"/>
        <w:spacing w:line="240" w:lineRule="auto"/>
        <w:rPr>
          <w:rFonts w:ascii="Times New Roman" w:hAnsi="Times New Roman" w:eastAsia="Times New Roman" w:cs="Times New Roman"/>
          <w:sz w:val="24"/>
          <w:szCs w:val="24"/>
          <w:lang w:eastAsia="fr-FR"/>
        </w:rPr>
      </w:pPr>
      <w:r>
        <w:rPr>
          <w:rFonts w:asciiTheme="majorBidi" w:hAnsiTheme="majorBidi" w:cstheme="majorBidi"/>
          <w:b/>
          <w:bCs/>
          <w:sz w:val="24"/>
          <w:szCs w:val="24"/>
        </w:rPr>
        <w:t xml:space="preserve"> </w:t>
      </w:r>
      <w:r>
        <w:rPr>
          <w:rFonts w:ascii="Times New Roman" w:hAnsi="Times New Roman" w:eastAsia="Times New Roman" w:cs="Times New Roman"/>
          <w:sz w:val="24"/>
          <w:szCs w:val="24"/>
          <w:lang w:eastAsia="fr-FR"/>
        </w:rPr>
        <w:t>La facilité d’utilisation perçue, concept central du modèle d’acceptation de la technologie (TAM), renvoie à la conviction qu’un système peut être utilisé sans effort particulier (Davis, 1989). Autrement dit, plus une plateforme d’apprentissage est perçue comme intuitive, ergonomique et accessible, plus elle suscite une attitude favorable chez les utilisateurs. Cette perception influence directement la satisfaction, la motivation et la volonté d’intégrer l’outil dans les pratiques d’apprentissage quotidiennes.</w:t>
      </w:r>
    </w:p>
    <w:p w14:paraId="71C59156">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Plusieurs études antérieures (Kumar et al., 2008 ; Morrar et al., 2017 ; Jang et al., 2021) ont confirmé cette relation, montrant qu’une interface simple et bien conçue favorise une attitude positive et réduit la résistance à l’adoption. Inversement, lorsqu’un outil numérique est jugé complexe, peu convivial ou cognitivement exigeant, il génère de la frustration, de la démotivation et une moindre intention d’usage.</w:t>
      </w:r>
    </w:p>
    <w:p w14:paraId="1097E58F">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Depuis la pandémie de COVID-19, la facilité d’utilisation perçue est devenue un facteur encore plus déterminant dans le contexte de l’enseignement supérieur numérique. Selon Almarashdeh (2022) et Nguyen et al. (2023), la simplicité d’usage et la clarté des interfaces influencent non seulement l’acceptation technologique, mais aussi la résilience numérique et la motivation intrinsèque des étudiants confrontés à des environnements d’apprentissage hybrides. Ces recherches soulignent que la facilité d’utilisation est désormais associée à une expérience d’apprentissage fluide, soutenant l’autonomie, la collaboration et la confiance technologique autant de </w:t>
      </w:r>
      <w:r>
        <w:rPr>
          <w:rFonts w:ascii="Times New Roman" w:hAnsi="Times New Roman" w:eastAsia="Times New Roman" w:cs="Times New Roman"/>
          <w:i/>
          <w:iCs/>
          <w:sz w:val="24"/>
          <w:szCs w:val="24"/>
          <w:lang w:eastAsia="fr-FR"/>
        </w:rPr>
        <w:t>soft skills</w:t>
      </w:r>
      <w:r>
        <w:rPr>
          <w:rFonts w:ascii="Times New Roman" w:hAnsi="Times New Roman" w:eastAsia="Times New Roman" w:cs="Times New Roman"/>
          <w:sz w:val="24"/>
          <w:szCs w:val="24"/>
          <w:lang w:eastAsia="fr-FR"/>
        </w:rPr>
        <w:t xml:space="preserve"> clés dans le contexte post-pandémique.</w:t>
      </w:r>
    </w:p>
    <w:p w14:paraId="7C3E918A">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Des travaux récents (Zaharias &amp; Pappas, 2024 ; Kohnke &amp; Zou, 2023) mettent en lumière le rôle des interfaces centrées sur l’utilisateur, de l’intelligence artificielle adaptative et des environnements immersifs dans la réduction de la charge cognitive et l’amélioration de la perception de facilité d’usage. En ce sens, la facilité d’utilisation perçue dépasse aujourd’hui la simple dimension technique : elle devient un levier d’engagement pédagogique et de développement personnel, participant à l’émergence d’une expérience d’apprentissage numérique plus inclusive et intuitive.</w:t>
      </w:r>
    </w:p>
    <w:p w14:paraId="68B2AFA0">
      <w:pPr>
        <w:spacing w:before="100" w:beforeAutospacing="1" w:after="100" w:afterAutospacing="1" w:line="240" w:lineRule="auto"/>
        <w:rPr>
          <w:rFonts w:ascii="Times New Roman" w:hAnsi="Times New Roman" w:cs="Times New Roman"/>
          <w:b/>
          <w:bCs/>
          <w:sz w:val="24"/>
          <w:szCs w:val="24"/>
        </w:rPr>
      </w:pPr>
      <w:r>
        <w:rPr>
          <w:rFonts w:ascii="Times New Roman" w:hAnsi="Times New Roman" w:eastAsia="Times New Roman" w:cs="Times New Roman"/>
          <w:sz w:val="24"/>
          <w:szCs w:val="24"/>
          <w:lang w:eastAsia="fr-FR"/>
        </w:rPr>
        <w:t>En cohérence avec ces constats, nous formulons l’hypothèse suivante :</w:t>
      </w:r>
    </w:p>
    <w:p w14:paraId="6B7FCC9D">
      <w:pPr>
        <w:spacing w:before="100" w:beforeAutospacing="1" w:after="100" w:afterAutospacing="1" w:line="240" w:lineRule="auto"/>
        <w:rPr>
          <w:rFonts w:ascii="Times New Roman" w:hAnsi="Times New Roman" w:eastAsia="Times New Roman" w:cs="Times New Roman"/>
          <w:i/>
          <w:iCs/>
          <w:color w:val="000000"/>
          <w:sz w:val="24"/>
          <w:szCs w:val="24"/>
          <w:lang w:eastAsia="fr-FR"/>
        </w:rPr>
      </w:pPr>
      <w:r>
        <w:rPr>
          <w:rFonts w:ascii="Times New Roman" w:hAnsi="Times New Roman" w:eastAsia="Times New Roman" w:cs="Times New Roman"/>
          <w:i/>
          <w:iCs/>
          <w:sz w:val="24"/>
          <w:szCs w:val="24"/>
          <w:lang w:eastAsia="fr-FR"/>
        </w:rPr>
        <w:t>H2 : La facilité d’utilisation perçue a un effet positif sur l’attitude des étudiants vis-à-vis de l’apprentissage des soft skills.</w:t>
      </w:r>
    </w:p>
    <w:p w14:paraId="7F1AD95D">
      <w:pPr>
        <w:pStyle w:val="14"/>
        <w:numPr>
          <w:ilvl w:val="0"/>
          <w:numId w:val="0"/>
        </w:numPr>
        <w:spacing w:after="0" w:line="240" w:lineRule="auto"/>
        <w:ind w:leftChars="0"/>
        <w:jc w:val="both"/>
        <w:rPr>
          <w:rFonts w:ascii="Times New Roman" w:hAnsi="Times New Roman" w:eastAsia="Times New Roman" w:cs="Times New Roman"/>
          <w:b/>
          <w:bCs/>
          <w:color w:val="000000"/>
          <w:sz w:val="24"/>
          <w:szCs w:val="24"/>
          <w:lang w:eastAsia="fr-FR"/>
        </w:rPr>
      </w:pPr>
      <w:r>
        <w:rPr>
          <w:rFonts w:hint="default" w:asciiTheme="majorBidi" w:hAnsiTheme="majorBidi" w:cstheme="majorBidi"/>
          <w:b/>
          <w:bCs/>
          <w:sz w:val="24"/>
          <w:szCs w:val="24"/>
          <w:lang w:val="fr-FR"/>
        </w:rPr>
        <w:t xml:space="preserve">               </w:t>
      </w:r>
    </w:p>
    <w:p w14:paraId="6525B268">
      <w:pPr>
        <w:pStyle w:val="14"/>
        <w:numPr>
          <w:ilvl w:val="1"/>
          <w:numId w:val="1"/>
        </w:numPr>
        <w:autoSpaceDE w:val="0"/>
        <w:autoSpaceDN w:val="0"/>
        <w:adjustRightInd w:val="0"/>
        <w:rPr>
          <w:rFonts w:asciiTheme="majorBidi" w:hAnsiTheme="majorBidi" w:cstheme="majorBidi"/>
          <w:b/>
          <w:bCs/>
          <w:sz w:val="24"/>
          <w:szCs w:val="24"/>
        </w:rPr>
      </w:pPr>
      <w:r>
        <w:rPr>
          <w:rFonts w:ascii="Times New Roman" w:hAnsi="Times New Roman" w:eastAsia="Times New Roman" w:cs="Times New Roman"/>
          <w:b/>
          <w:bCs/>
          <w:color w:val="000000"/>
          <w:sz w:val="24"/>
          <w:szCs w:val="24"/>
          <w:lang w:eastAsia="fr-FR"/>
        </w:rPr>
        <w:t>Engagement</w:t>
      </w:r>
      <w:r>
        <w:rPr>
          <w:rFonts w:asciiTheme="majorBidi" w:hAnsiTheme="majorBidi" w:cstheme="majorBidi"/>
          <w:b/>
          <w:bCs/>
          <w:sz w:val="24"/>
          <w:szCs w:val="24"/>
        </w:rPr>
        <w:t xml:space="preserve"> </w:t>
      </w:r>
    </w:p>
    <w:p w14:paraId="4D3209DE">
      <w:pPr>
        <w:pStyle w:val="8"/>
        <w:jc w:val="both"/>
      </w:pPr>
      <w:r>
        <w:t xml:space="preserve">L’engagement est défini comme un </w:t>
      </w:r>
      <w:r>
        <w:rPr>
          <w:rStyle w:val="5"/>
          <w:b w:val="0"/>
          <w:bCs w:val="0"/>
        </w:rPr>
        <w:t>état d’esprit positif</w:t>
      </w:r>
      <w:r>
        <w:t xml:space="preserve"> caractérisé par la</w:t>
      </w:r>
      <w:r>
        <w:rPr>
          <w:b/>
          <w:bCs/>
        </w:rPr>
        <w:t xml:space="preserve"> </w:t>
      </w:r>
      <w:r>
        <w:rPr>
          <w:rStyle w:val="5"/>
          <w:b w:val="0"/>
          <w:bCs w:val="0"/>
        </w:rPr>
        <w:t>vigueur, le dévouement et l’absorption</w:t>
      </w:r>
      <w:r>
        <w:t xml:space="preserve"> dans les activités d’apprentissage (Ouweneel et al., 2013). Dans le domaine éducatif, il se manifeste par une </w:t>
      </w:r>
      <w:r>
        <w:rPr>
          <w:rStyle w:val="5"/>
          <w:b w:val="0"/>
          <w:bCs w:val="0"/>
        </w:rPr>
        <w:t>implication active, émotionnelle et cognitive</w:t>
      </w:r>
      <w:r>
        <w:t xml:space="preserve"> de l’étudiant, jouant un rôle central dans la </w:t>
      </w:r>
      <w:r>
        <w:rPr>
          <w:rStyle w:val="5"/>
          <w:b w:val="0"/>
          <w:bCs w:val="0"/>
        </w:rPr>
        <w:t>réussite académique</w:t>
      </w:r>
      <w:r>
        <w:t xml:space="preserve"> et le </w:t>
      </w:r>
      <w:r>
        <w:rPr>
          <w:rStyle w:val="5"/>
          <w:b w:val="0"/>
          <w:bCs w:val="0"/>
        </w:rPr>
        <w:t>développement des compétences transversales</w:t>
      </w:r>
      <w:r>
        <w:rPr>
          <w:b/>
          <w:bCs/>
        </w:rPr>
        <w:t xml:space="preserve"> </w:t>
      </w:r>
      <w:r>
        <w:t>(Reeve, 2013 ; Fredricks et al., 2016).</w:t>
      </w:r>
    </w:p>
    <w:p w14:paraId="08A9F3CB">
      <w:pPr>
        <w:pStyle w:val="8"/>
        <w:jc w:val="both"/>
      </w:pPr>
      <w:r>
        <w:t xml:space="preserve">Avec la généralisation des </w:t>
      </w:r>
      <w:r>
        <w:rPr>
          <w:rStyle w:val="5"/>
          <w:b w:val="0"/>
          <w:bCs w:val="0"/>
        </w:rPr>
        <w:t>environnements numériques d’apprentissage</w:t>
      </w:r>
      <w:r>
        <w:t>, la notion d’engagement s’est élargie : elle ne se limite plus à la participation en classe, mais inclut aussi la</w:t>
      </w:r>
      <w:r>
        <w:rPr>
          <w:b/>
          <w:bCs/>
        </w:rPr>
        <w:t xml:space="preserve"> </w:t>
      </w:r>
      <w:r>
        <w:rPr>
          <w:rStyle w:val="5"/>
          <w:b w:val="0"/>
          <w:bCs w:val="0"/>
        </w:rPr>
        <w:t>collaboration virtuelle</w:t>
      </w:r>
      <w:r>
        <w:t>, la</w:t>
      </w:r>
      <w:r>
        <w:rPr>
          <w:b/>
          <w:bCs/>
        </w:rPr>
        <w:t xml:space="preserve"> </w:t>
      </w:r>
      <w:r>
        <w:rPr>
          <w:rStyle w:val="5"/>
          <w:b w:val="0"/>
          <w:bCs w:val="0"/>
        </w:rPr>
        <w:t>communication en ligne</w:t>
      </w:r>
      <w:r>
        <w:rPr>
          <w:b/>
          <w:bCs/>
        </w:rPr>
        <w:t xml:space="preserve"> </w:t>
      </w:r>
      <w:r>
        <w:t xml:space="preserve">et la </w:t>
      </w:r>
      <w:r>
        <w:rPr>
          <w:rStyle w:val="5"/>
          <w:b w:val="0"/>
          <w:bCs w:val="0"/>
        </w:rPr>
        <w:t>gestion autonome de l’apprentissage</w:t>
      </w:r>
      <w:r>
        <w:rPr>
          <w:b/>
          <w:bCs/>
        </w:rPr>
        <w:t xml:space="preserve"> </w:t>
      </w:r>
      <w:r>
        <w:t xml:space="preserve">(Henrie et al., 2015). Les études récentes montrent que cet </w:t>
      </w:r>
      <w:r>
        <w:rPr>
          <w:rStyle w:val="5"/>
          <w:b w:val="0"/>
          <w:bCs w:val="0"/>
        </w:rPr>
        <w:t>engagement numérique</w:t>
      </w:r>
      <w:r>
        <w:t xml:space="preserve">, qui combine attention, motivation et persévérance, constitue un </w:t>
      </w:r>
      <w:r>
        <w:rPr>
          <w:rStyle w:val="5"/>
          <w:b w:val="0"/>
          <w:bCs w:val="0"/>
        </w:rPr>
        <w:t>facteur clé de satisfaction et de performance</w:t>
      </w:r>
      <w:r>
        <w:t xml:space="preserve"> dans les contextes d’apprentissage hybrides (Bond &amp; Bedenlier, 2019 ; Kim &amp; Lee, 2022).</w:t>
      </w:r>
    </w:p>
    <w:p w14:paraId="4331D510">
      <w:pPr>
        <w:pStyle w:val="8"/>
        <w:jc w:val="both"/>
      </w:pPr>
      <w:r>
        <w:t xml:space="preserve">La </w:t>
      </w:r>
      <w:r>
        <w:rPr>
          <w:rStyle w:val="5"/>
          <w:b w:val="0"/>
          <w:bCs w:val="0"/>
        </w:rPr>
        <w:t>crise de la COVID-19</w:t>
      </w:r>
      <w:r>
        <w:t xml:space="preserve"> a accentué cette évolution en rendant indispensables de nouvelles formes d’interaction et de soutien. Dans les dispositifs hybrides et à distance, le niveau d’engagement des étudiants dépend désormais de la </w:t>
      </w:r>
      <w:r>
        <w:rPr>
          <w:rStyle w:val="5"/>
          <w:b w:val="0"/>
          <w:bCs w:val="0"/>
        </w:rPr>
        <w:t>qualité des échanges médiés par la technologie</w:t>
      </w:r>
      <w:r>
        <w:rPr>
          <w:b/>
          <w:bCs/>
        </w:rPr>
        <w:t>,</w:t>
      </w:r>
      <w:r>
        <w:t xml:space="preserve"> de la </w:t>
      </w:r>
      <w:r>
        <w:rPr>
          <w:rStyle w:val="5"/>
          <w:b w:val="0"/>
          <w:bCs w:val="0"/>
        </w:rPr>
        <w:t>convivialité des plateformes</w:t>
      </w:r>
      <w:r>
        <w:t xml:space="preserve"> et du </w:t>
      </w:r>
      <w:r>
        <w:rPr>
          <w:rStyle w:val="5"/>
          <w:b w:val="0"/>
          <w:bCs w:val="0"/>
        </w:rPr>
        <w:t>soutien socio-émotionnel</w:t>
      </w:r>
      <w:r>
        <w:t xml:space="preserve"> perçu (Baber, 2021 ; Yang et al., 2022). Des approches innovantes comme la </w:t>
      </w:r>
      <w:r>
        <w:rPr>
          <w:rStyle w:val="5"/>
          <w:b w:val="0"/>
          <w:bCs w:val="0"/>
        </w:rPr>
        <w:t>classe inversée</w:t>
      </w:r>
      <w:r>
        <w:t xml:space="preserve">, la </w:t>
      </w:r>
      <w:r>
        <w:rPr>
          <w:rStyle w:val="5"/>
          <w:b w:val="0"/>
          <w:bCs w:val="0"/>
        </w:rPr>
        <w:t>gamification</w:t>
      </w:r>
      <w:r>
        <w:t xml:space="preserve"> ou </w:t>
      </w:r>
      <w:r>
        <w:rPr>
          <w:b/>
          <w:bCs/>
        </w:rPr>
        <w:t>l’</w:t>
      </w:r>
      <w:r>
        <w:rPr>
          <w:rStyle w:val="5"/>
          <w:b w:val="0"/>
          <w:bCs w:val="0"/>
        </w:rPr>
        <w:t>intelligence artificielle éducativ</w:t>
      </w:r>
      <w:r>
        <w:rPr>
          <w:rStyle w:val="5"/>
        </w:rPr>
        <w:t>e</w:t>
      </w:r>
      <w:r>
        <w:t xml:space="preserve"> stimulent la motivation et renforcent le sentiment d’appartenance et de compétence (Martin &amp; Bolliger, 2023).</w:t>
      </w:r>
    </w:p>
    <w:p w14:paraId="09D73402">
      <w:pPr>
        <w:pStyle w:val="8"/>
        <w:jc w:val="both"/>
      </w:pPr>
      <w:r>
        <w:t xml:space="preserve">Dans le contexte du </w:t>
      </w:r>
      <w:r>
        <w:rPr>
          <w:rStyle w:val="5"/>
          <w:b w:val="0"/>
          <w:bCs w:val="0"/>
        </w:rPr>
        <w:t>développement des soft skills</w:t>
      </w:r>
      <w:r>
        <w:rPr>
          <w:b/>
          <w:bCs/>
        </w:rPr>
        <w:t>,</w:t>
      </w:r>
      <w:r>
        <w:t xml:space="preserve"> l’engagement constitue un </w:t>
      </w:r>
      <w:r>
        <w:rPr>
          <w:rStyle w:val="5"/>
          <w:b w:val="0"/>
          <w:bCs w:val="0"/>
        </w:rPr>
        <w:t>levier essentiel</w:t>
      </w:r>
      <w:r>
        <w:t xml:space="preserve"> : il favorise la curiosité, la communication, la collaboration et l’apprentissage autodirigé — des compétences devenues indispensables dans le monde professionnel (Suárez-Álvarez et al., 2023). En stimulant l’intérêt et la participation active des étudiants, l’engagement contribue à </w:t>
      </w:r>
      <w:r>
        <w:rPr>
          <w:rStyle w:val="5"/>
          <w:b w:val="0"/>
          <w:bCs w:val="0"/>
        </w:rPr>
        <w:t>façonner une attitude plus ouverte et proactive</w:t>
      </w:r>
      <w:r>
        <w:rPr>
          <w:b/>
          <w:bCs/>
        </w:rPr>
        <w:t xml:space="preserve"> </w:t>
      </w:r>
      <w:r>
        <w:t>envers l’acquisition de ces compétences non techniques.</w:t>
      </w:r>
    </w:p>
    <w:p w14:paraId="0A5F9EAD">
      <w:pPr>
        <w:pStyle w:val="8"/>
        <w:jc w:val="both"/>
        <w:rPr>
          <w:color w:val="FF0000"/>
        </w:rPr>
      </w:pPr>
      <w:r>
        <w:t xml:space="preserve">Ainsi, plusieurs travaux confirment que l’engagement influence positivement les </w:t>
      </w:r>
      <w:r>
        <w:rPr>
          <w:rStyle w:val="5"/>
          <w:b w:val="0"/>
          <w:bCs w:val="0"/>
        </w:rPr>
        <w:t>attitudes des apprenants</w:t>
      </w:r>
      <w:r>
        <w:t xml:space="preserve"> (Bodovski &amp; Farkas, 2007 ; Zyngier, 2007). Dès lors, il semble pertinent de considérer que </w:t>
      </w:r>
      <w:r>
        <w:rPr>
          <w:rStyle w:val="5"/>
          <w:b w:val="0"/>
          <w:bCs w:val="0"/>
        </w:rPr>
        <w:t>l’engagement des étudiants favorise leur attitude positive envers l’apprentissage des soft skills</w:t>
      </w:r>
      <w:r>
        <w:rPr>
          <w:b/>
          <w:bCs/>
        </w:rPr>
        <w:t>.</w:t>
      </w:r>
    </w:p>
    <w:p w14:paraId="3DA5DD18">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Sur cette base, nous formulons l’hypothèse suivante :</w:t>
      </w:r>
    </w:p>
    <w:p w14:paraId="4D0A64C0">
      <w:pPr>
        <w:spacing w:before="100" w:beforeAutospacing="1" w:after="100" w:afterAutospacing="1" w:line="240" w:lineRule="auto"/>
        <w:rPr>
          <w:rFonts w:ascii="Times New Roman" w:hAnsi="Times New Roman" w:eastAsia="Times New Roman" w:cs="Times New Roman"/>
          <w:i/>
          <w:iCs/>
          <w:sz w:val="24"/>
          <w:szCs w:val="24"/>
          <w:lang w:eastAsia="fr-FR"/>
        </w:rPr>
      </w:pPr>
      <w:r>
        <w:rPr>
          <w:rFonts w:ascii="Times New Roman" w:hAnsi="Times New Roman" w:eastAsia="Times New Roman" w:cs="Times New Roman"/>
          <w:i/>
          <w:iCs/>
          <w:sz w:val="24"/>
          <w:szCs w:val="24"/>
          <w:lang w:eastAsia="fr-FR"/>
        </w:rPr>
        <w:t>H3 : L’engagement a un effet positif sur l’attitude des étudiants vis-à-vis de l’apprentissage des soft skills.</w:t>
      </w:r>
    </w:p>
    <w:p w14:paraId="723A2FA5">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 xml:space="preserve"> </w:t>
      </w:r>
    </w:p>
    <w:p w14:paraId="3D42D46A">
      <w:pPr>
        <w:pStyle w:val="14"/>
        <w:numPr>
          <w:ilvl w:val="1"/>
          <w:numId w:val="1"/>
        </w:numPr>
        <w:autoSpaceDE w:val="0"/>
        <w:autoSpaceDN w:val="0"/>
        <w:adjustRightInd w:val="0"/>
        <w:rPr>
          <w:rFonts w:asciiTheme="majorBidi" w:hAnsiTheme="majorBidi" w:cstheme="majorBidi"/>
          <w:b/>
          <w:bCs/>
          <w:sz w:val="24"/>
          <w:szCs w:val="24"/>
        </w:rPr>
      </w:pPr>
      <w:r>
        <w:rPr>
          <w:rFonts w:hint="default" w:asciiTheme="majorBidi" w:hAnsiTheme="majorBidi" w:cstheme="majorBidi"/>
          <w:b/>
          <w:bCs/>
          <w:sz w:val="24"/>
          <w:szCs w:val="24"/>
          <w:lang w:val="fr-FR"/>
        </w:rPr>
        <w:t>Attitude</w:t>
      </w:r>
      <w:r>
        <w:rPr>
          <w:rFonts w:asciiTheme="majorBidi" w:hAnsiTheme="majorBidi" w:cstheme="majorBidi"/>
          <w:b/>
          <w:bCs/>
          <w:sz w:val="24"/>
          <w:szCs w:val="24"/>
        </w:rPr>
        <w:t xml:space="preserve">  </w:t>
      </w:r>
    </w:p>
    <w:p w14:paraId="58282F49">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L’attitude se définit comme une prédisposition psychologique à réagir de manière favorable ou défavorable à l’égard d’un objet, d’une personne ou d’une activité (Ajzen, 1988). Dans le cadre du Technology Acceptance Model (TAM), elle occupe une place centrale puisqu’elle constitue le lien entre les croyances individuelles et l’intention d’usage (Davis, 1989 ; Venkatesh &amp; Davis, 2000). En d’autres termes, une attitude positive traduit une perception favorable de la valeur ajoutée et de la simplicité d’une innovation, renforçant ainsi la motivation à l’adopter.</w:t>
      </w:r>
    </w:p>
    <w:p w14:paraId="433F1330">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Plusieurs études confirment le rôle déterminant de l’attitude dans l’acceptation des technologies éducatives. Chen et al. (2002) et Hussein (2017) ont montré que l’attitude influence directement la motivation et l’intention d’utilisation des plateformes d’apprentissage en ligne. Plus récemment, Al-Emran et al. (2020) et Al-Rahmi et al. (2022) ont confirmé cette relation dans le contexte post-pandémique, où l’attitude positive envers les innovations pédagogiques numériques s’est révélée être un facteur décisif d’engagement et de persistance dans l’apprentissage.</w:t>
      </w:r>
    </w:p>
    <w:p w14:paraId="79BCB3E9">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Dans le contexte de l’innovation pédagogique axée sur le développement des soft skills, l’attitude des étudiants ne se limite pas à une simple disposition cognitive : elle reflète également leur réceptivité face à un mode de formation renouvelé, combinant outils numériques, pédagogies actives et apprentissage expérientiel. Ainsi, une attitude favorable traduit non seulement une reconnaissance de la pertinence du cursus, mais aussi une motivation accrue à s’investir dans le développement des compétences transversales.</w:t>
      </w:r>
    </w:p>
    <w:p w14:paraId="1D6539D2">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En cohérence avec ces travaux, l’attitude est ici considérée comme une variable médiatrice entre les croyances antécédentes (utilité perçue, facilité d’utilisation et engagement) et la motivation des étudiants à adopter l’innovation pédagogique centrée sur les soft skills.</w:t>
      </w:r>
    </w:p>
    <w:p w14:paraId="5B32A293">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Sur cette base, nous proposons l’hypothèse suivante :</w:t>
      </w:r>
    </w:p>
    <w:p w14:paraId="3603EE24">
      <w:pPr>
        <w:spacing w:before="100" w:beforeAutospacing="1" w:after="100" w:afterAutospacing="1" w:line="240" w:lineRule="auto"/>
        <w:rPr>
          <w:rFonts w:ascii="Times New Roman" w:hAnsi="Times New Roman" w:eastAsia="Times New Roman" w:cs="Times New Roman"/>
          <w:i/>
          <w:iCs/>
          <w:sz w:val="24"/>
          <w:szCs w:val="24"/>
          <w:lang w:eastAsia="fr-FR"/>
        </w:rPr>
      </w:pPr>
      <w:r>
        <w:rPr>
          <w:rFonts w:ascii="Times New Roman" w:hAnsi="Times New Roman" w:eastAsia="Times New Roman" w:cs="Times New Roman"/>
          <w:i/>
          <w:iCs/>
          <w:sz w:val="24"/>
          <w:szCs w:val="24"/>
          <w:lang w:eastAsia="fr-FR"/>
        </w:rPr>
        <w:t>H4 : L’attitude a un effet positif sur la motivation des étudiants vis-à-vis de l’apprentissage des soft skills.</w:t>
      </w:r>
    </w:p>
    <w:p w14:paraId="2B05D149">
      <w:pPr>
        <w:pStyle w:val="14"/>
        <w:numPr>
          <w:ilvl w:val="0"/>
          <w:numId w:val="0"/>
        </w:numPr>
        <w:spacing w:after="0" w:line="240" w:lineRule="auto"/>
        <w:ind w:leftChars="0"/>
        <w:jc w:val="both"/>
        <w:rPr>
          <w:rFonts w:ascii="Times New Roman" w:hAnsi="Times New Roman" w:eastAsia="Times New Roman" w:cs="Times New Roman"/>
          <w:b/>
          <w:bCs/>
          <w:color w:val="000000"/>
          <w:sz w:val="24"/>
          <w:szCs w:val="24"/>
          <w:lang w:eastAsia="fr-FR"/>
        </w:rPr>
      </w:pPr>
      <w:r>
        <w:rPr>
          <w:rFonts w:hint="default" w:asciiTheme="majorBidi" w:hAnsiTheme="majorBidi" w:cstheme="majorBidi"/>
          <w:b/>
          <w:bCs/>
          <w:sz w:val="24"/>
          <w:szCs w:val="24"/>
          <w:lang w:val="fr-FR"/>
        </w:rPr>
        <w:t xml:space="preserve">          </w:t>
      </w:r>
    </w:p>
    <w:p w14:paraId="51050F51">
      <w:pPr>
        <w:pStyle w:val="14"/>
        <w:numPr>
          <w:ilvl w:val="1"/>
          <w:numId w:val="1"/>
        </w:numPr>
        <w:autoSpaceDE w:val="0"/>
        <w:autoSpaceDN w:val="0"/>
        <w:adjustRightInd w:val="0"/>
        <w:rPr>
          <w:rFonts w:asciiTheme="majorBidi" w:hAnsiTheme="majorBidi" w:cstheme="majorBidi"/>
          <w:b/>
          <w:bCs/>
          <w:sz w:val="24"/>
          <w:szCs w:val="24"/>
        </w:rPr>
      </w:pPr>
      <w:r>
        <w:rPr>
          <w:rFonts w:ascii="Times New Roman" w:hAnsi="Times New Roman" w:eastAsia="Times New Roman" w:cs="Times New Roman"/>
          <w:b/>
          <w:bCs/>
          <w:color w:val="000000"/>
          <w:sz w:val="24"/>
          <w:szCs w:val="24"/>
          <w:lang w:eastAsia="fr-FR"/>
        </w:rPr>
        <w:t>Motivation</w:t>
      </w:r>
      <w:r>
        <w:rPr>
          <w:rFonts w:asciiTheme="majorBidi" w:hAnsiTheme="majorBidi" w:cstheme="majorBidi"/>
          <w:b/>
          <w:bCs/>
          <w:sz w:val="24"/>
          <w:szCs w:val="24"/>
        </w:rPr>
        <w:t xml:space="preserve">   </w:t>
      </w:r>
    </w:p>
    <w:p w14:paraId="77C30285">
      <w:pPr>
        <w:spacing w:before="100" w:beforeAutospacing="1" w:after="100" w:afterAutospacing="1" w:line="240" w:lineRule="auto"/>
        <w:jc w:val="both"/>
        <w:rPr>
          <w:rFonts w:ascii="Times New Roman" w:hAnsi="Times New Roman" w:eastAsia="Times New Roman" w:cs="Times New Roman"/>
          <w:sz w:val="22"/>
          <w:szCs w:val="22"/>
          <w:lang w:eastAsia="fr-FR"/>
        </w:rPr>
      </w:pPr>
      <w:r>
        <w:rPr>
          <w:rFonts w:ascii="Times New Roman" w:hAnsi="Times New Roman" w:eastAsia="Times New Roman" w:cs="Times New Roman"/>
          <w:sz w:val="22"/>
          <w:szCs w:val="22"/>
          <w:lang w:eastAsia="fr-FR"/>
        </w:rPr>
        <w:t>La motivation désigne le plaisir, l’intérêt ou la satisfaction qu’un individu retire d’une activité, constituant ainsi un déterminant majeur de l’intention comportementale (Venkatesh et al., 2012). Dans le cadre du Technology Acceptance Model (TAM) et de ses extensions (UTAUT2), la motivation hédonique occupe une place centrale, puisqu’elle influence directement l’intention d’adopter une technologie ou une innovation pédagogique (Yang, 2010 ; Sharif &amp; Raza, 2017).</w:t>
      </w:r>
    </w:p>
    <w:p w14:paraId="4FDC959A">
      <w:pPr>
        <w:spacing w:before="100" w:beforeAutospacing="1" w:after="100" w:afterAutospacing="1" w:line="240" w:lineRule="auto"/>
        <w:jc w:val="both"/>
        <w:rPr>
          <w:rFonts w:ascii="Times New Roman" w:hAnsi="Times New Roman" w:eastAsia="Times New Roman" w:cs="Times New Roman"/>
          <w:sz w:val="22"/>
          <w:szCs w:val="22"/>
          <w:lang w:eastAsia="fr-FR"/>
        </w:rPr>
      </w:pPr>
      <w:r>
        <w:rPr>
          <w:rFonts w:ascii="Times New Roman" w:hAnsi="Times New Roman" w:eastAsia="Times New Roman" w:cs="Times New Roman"/>
          <w:sz w:val="22"/>
          <w:szCs w:val="22"/>
          <w:lang w:eastAsia="fr-FR"/>
        </w:rPr>
        <w:t>Elle renvoie à la dimension émotionnelle et gratifiante de l’expérience d’apprentissage, en renforçant à la fois l’engagement, la persévérance et l’ouverture au changement (Deci &amp; Ryan, 2017). Dans le contexte éducatif, cette motivation s’exprime particulièrement à travers l’usage des technologies interactives (apprentissage hybride, gamification, réalité virtuelle, intelligence artificielle éducative) qui rendent l’apprentissage plus stimulant et personnalisé (Aldhahi et al., 2023 ; Martin &amp; Bolliger, 2023).</w:t>
      </w:r>
    </w:p>
    <w:p w14:paraId="0D4897BC">
      <w:pPr>
        <w:spacing w:before="100" w:beforeAutospacing="1" w:after="100" w:afterAutospacing="1" w:line="240" w:lineRule="auto"/>
        <w:jc w:val="both"/>
        <w:rPr>
          <w:rFonts w:ascii="Times New Roman" w:hAnsi="Times New Roman" w:eastAsia="Times New Roman" w:cs="Times New Roman"/>
          <w:sz w:val="22"/>
          <w:szCs w:val="22"/>
          <w:lang w:eastAsia="fr-FR"/>
        </w:rPr>
      </w:pPr>
      <w:r>
        <w:rPr>
          <w:rFonts w:ascii="Times New Roman" w:hAnsi="Times New Roman" w:eastAsia="Times New Roman" w:cs="Times New Roman"/>
          <w:sz w:val="22"/>
          <w:szCs w:val="22"/>
          <w:lang w:eastAsia="fr-FR"/>
        </w:rPr>
        <w:t>Les innovations pédagogiques intégrant les soft skills telles que les projets collaboratifs, les simulations, ou les modules numériques de communication et de leadership offrent un cadre propice à cette motivation intrinsèque, car elles favorisent l’autonomie, la créativité et le sentiment de compétence des étudiants (Succi &amp; Canovi, 2020 ; Tang et al., 2022). Plus les étudiants ressentent du plaisir et de l’intérêt dans ces expériences formatives, plus leur intention d’adopter et de valoriser l’apprentissage des soft skills est élevée.</w:t>
      </w:r>
      <w:r>
        <w:rPr>
          <w:rFonts w:ascii="Times New Roman" w:hAnsi="Times New Roman" w:eastAsia="Times New Roman" w:cs="Times New Roman"/>
          <w:color w:val="FF0000"/>
          <w:sz w:val="22"/>
          <w:szCs w:val="22"/>
          <w:lang w:eastAsia="fr-FR"/>
        </w:rPr>
        <w:t xml:space="preserve"> </w:t>
      </w:r>
      <w:r>
        <w:rPr>
          <w:rFonts w:ascii="Times New Roman" w:hAnsi="Times New Roman" w:eastAsia="Times New Roman" w:cs="Times New Roman"/>
          <w:sz w:val="22"/>
          <w:szCs w:val="22"/>
          <w:lang w:eastAsia="fr-FR"/>
        </w:rPr>
        <w:t xml:space="preserve">En cohérence avec ces travaux, nous avançons l’hypothèse suivante : </w:t>
      </w:r>
    </w:p>
    <w:p w14:paraId="3DAC430D">
      <w:pPr>
        <w:spacing w:before="100" w:beforeAutospacing="1" w:after="100" w:afterAutospacing="1" w:line="240" w:lineRule="auto"/>
        <w:rPr>
          <w:rFonts w:ascii="Times New Roman" w:hAnsi="Times New Roman" w:eastAsia="Times New Roman" w:cs="Times New Roman"/>
          <w:i/>
          <w:iCs/>
          <w:sz w:val="22"/>
          <w:szCs w:val="22"/>
          <w:lang w:eastAsia="fr-FR"/>
        </w:rPr>
      </w:pPr>
      <w:r>
        <w:rPr>
          <w:rFonts w:ascii="Times New Roman" w:hAnsi="Times New Roman" w:eastAsia="Times New Roman" w:cs="Times New Roman"/>
          <w:i/>
          <w:iCs/>
          <w:sz w:val="22"/>
          <w:szCs w:val="22"/>
          <w:lang w:eastAsia="fr-FR"/>
        </w:rPr>
        <w:t>H5 : La motivation a un effet positif sur l’intention des étudiants vis-à-vis de l’apprentissage des soft skills.</w:t>
      </w:r>
    </w:p>
    <w:p w14:paraId="3BFE6FEF">
      <w:pPr>
        <w:spacing w:after="0" w:line="240" w:lineRule="auto"/>
        <w:jc w:val="both"/>
        <w:rPr>
          <w:rFonts w:ascii="Times New Roman" w:hAnsi="Times New Roman" w:eastAsia="Times New Roman" w:cs="Times New Roman"/>
          <w:b/>
          <w:bCs/>
          <w:color w:val="0D0D0D"/>
          <w:sz w:val="24"/>
          <w:szCs w:val="24"/>
          <w:shd w:val="clear" w:color="auto" w:fill="FFFFFF"/>
          <w:lang w:eastAsia="fr-FR"/>
        </w:rPr>
      </w:pPr>
      <w:r>
        <w:rPr>
          <w:rFonts w:ascii="Times New Roman" w:hAnsi="Times New Roman" w:eastAsia="Times New Roman" w:cs="Times New Roman"/>
          <w:b/>
          <w:bCs/>
          <w:color w:val="0D0D0D"/>
          <w:sz w:val="24"/>
          <w:szCs w:val="24"/>
          <w:shd w:val="clear" w:color="auto" w:fill="FFFFFF"/>
          <w:lang w:eastAsia="fr-FR"/>
        </w:rPr>
        <w:t xml:space="preserve">Figure </w:t>
      </w:r>
      <w:r>
        <w:rPr>
          <w:rFonts w:asciiTheme="majorBidi" w:hAnsiTheme="majorBidi" w:cstheme="majorBidi"/>
          <w:b/>
          <w:sz w:val="24"/>
          <w:szCs w:val="24"/>
        </w:rPr>
        <w:t>N°1</w:t>
      </w:r>
      <w:r>
        <w:rPr>
          <w:rFonts w:ascii="Times New Roman" w:hAnsi="Times New Roman" w:eastAsia="Times New Roman" w:cs="Times New Roman"/>
          <w:b/>
          <w:bCs/>
          <w:color w:val="0D0D0D"/>
          <w:sz w:val="24"/>
          <w:szCs w:val="24"/>
          <w:shd w:val="clear" w:color="auto" w:fill="FFFFFF"/>
          <w:lang w:eastAsia="fr-FR"/>
        </w:rPr>
        <w:t> : Le modèle conceptuel</w:t>
      </w:r>
    </w:p>
    <w:p w14:paraId="19A7140F">
      <w:pPr>
        <w:spacing w:after="0" w:line="240" w:lineRule="auto"/>
        <w:jc w:val="both"/>
        <w:rPr>
          <w:rFonts w:ascii="Times New Roman" w:hAnsi="Times New Roman" w:eastAsia="Times New Roman" w:cs="Times New Roman"/>
          <w:b/>
          <w:bCs/>
          <w:color w:val="0D0D0D"/>
          <w:sz w:val="22"/>
          <w:szCs w:val="22"/>
          <w:shd w:val="clear" w:color="auto" w:fill="FFFFFF"/>
          <w:lang w:eastAsia="fr-FR"/>
        </w:rPr>
      </w:pPr>
    </w:p>
    <w:p w14:paraId="4406D25E">
      <w:pPr>
        <w:tabs>
          <w:tab w:val="left" w:pos="2348"/>
          <w:tab w:val="center" w:pos="4536"/>
        </w:tabs>
        <w:spacing w:after="200" w:line="36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193040</wp:posOffset>
                </wp:positionH>
                <wp:positionV relativeFrom="paragraph">
                  <wp:posOffset>33020</wp:posOffset>
                </wp:positionV>
                <wp:extent cx="1174750" cy="415290"/>
                <wp:effectExtent l="5080" t="5080" r="20320" b="17780"/>
                <wp:wrapNone/>
                <wp:docPr id="12" name="Rectangle 12"/>
                <wp:cNvGraphicFramePr/>
                <a:graphic xmlns:a="http://schemas.openxmlformats.org/drawingml/2006/main">
                  <a:graphicData uri="http://schemas.microsoft.com/office/word/2010/wordprocessingShape">
                    <wps:wsp>
                      <wps:cNvSpPr>
                        <a:spLocks noChangeArrowheads="1"/>
                      </wps:cNvSpPr>
                      <wps:spPr bwMode="auto">
                        <a:xfrm>
                          <a:off x="0" y="0"/>
                          <a:ext cx="1174750" cy="415290"/>
                        </a:xfrm>
                        <a:prstGeom prst="rect">
                          <a:avLst/>
                        </a:prstGeom>
                        <a:solidFill>
                          <a:srgbClr val="FFFFFF"/>
                        </a:solidFill>
                        <a:ln w="9525">
                          <a:solidFill>
                            <a:srgbClr val="000000"/>
                          </a:solidFill>
                          <a:miter lim="800000"/>
                        </a:ln>
                        <a:effectLst/>
                      </wps:spPr>
                      <wps:txbx>
                        <w:txbxContent>
                          <w:p w14:paraId="5AF46807">
                            <w:pPr>
                              <w:rPr>
                                <w:rFonts w:ascii="Cambria" w:hAnsi="Cambria" w:cs="Times New Roman"/>
                                <w:sz w:val="24"/>
                                <w:szCs w:val="24"/>
                              </w:rPr>
                            </w:pPr>
                            <w:r>
                              <w:rPr>
                                <w:rFonts w:ascii="Cambria" w:hAnsi="Cambria" w:cs="Times New Roman"/>
                                <w:sz w:val="24"/>
                                <w:szCs w:val="24"/>
                              </w:rPr>
                              <w:t xml:space="preserve">Utilité perçue </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2pt;margin-top:2.6pt;height:32.7pt;width:92.5pt;z-index:251659264;mso-width-relative:page;mso-height-relative:page;" fillcolor="#FFFFFF" filled="t" stroked="t" coordsize="21600,21600" o:gfxdata="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rlo29UAAAAHAQAADwAAAAAAAAABACAAAAAiAAAAZHJzL2Rvd25yZXYueG1s&#10;UEsBAhQAFAAAAAgAh07iQPDd3C00AgAAjQQAAA4AAAAAAAAAAQAgAAAAJAEAAGRycy9lMm9Eb2Mu&#10;eG1sUEsFBgAAAAAGAAYAWQEAAMoFAAAAAA==&#10;">
                <v:fill on="t" focussize="0,0"/>
                <v:stroke color="#000000" miterlimit="8" joinstyle="miter"/>
                <v:imagedata o:title=""/>
                <o:lock v:ext="edit" aspectratio="f"/>
                <v:textbox>
                  <w:txbxContent>
                    <w:p w14:paraId="5AF46807">
                      <w:pPr>
                        <w:rPr>
                          <w:rFonts w:ascii="Cambria" w:hAnsi="Cambria" w:cs="Times New Roman"/>
                          <w:sz w:val="24"/>
                          <w:szCs w:val="24"/>
                        </w:rPr>
                      </w:pPr>
                      <w:r>
                        <w:rPr>
                          <w:rFonts w:ascii="Cambria" w:hAnsi="Cambria" w:cs="Times New Roman"/>
                          <w:sz w:val="24"/>
                          <w:szCs w:val="24"/>
                        </w:rPr>
                        <w:t xml:space="preserve">Utilité perçue </w:t>
                      </w:r>
                    </w:p>
                  </w:txbxContent>
                </v:textbox>
              </v:rect>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70528" behindDoc="0" locked="0" layoutInCell="1" allowOverlap="1">
                <wp:simplePos x="0" y="0"/>
                <wp:positionH relativeFrom="column">
                  <wp:posOffset>1576705</wp:posOffset>
                </wp:positionH>
                <wp:positionV relativeFrom="paragraph">
                  <wp:posOffset>133985</wp:posOffset>
                </wp:positionV>
                <wp:extent cx="409575" cy="314325"/>
                <wp:effectExtent l="0" t="0" r="0" b="0"/>
                <wp:wrapNone/>
                <wp:docPr id="11" name="Zone de texte 11"/>
                <wp:cNvGraphicFramePr/>
                <a:graphic xmlns:a="http://schemas.openxmlformats.org/drawingml/2006/main">
                  <a:graphicData uri="http://schemas.microsoft.com/office/word/2010/wordprocessingShape">
                    <wps:wsp>
                      <wps:cNvSpPr txBox="1">
                        <a:spLocks noChangeArrowheads="1"/>
                      </wps:cNvSpPr>
                      <wps:spPr bwMode="auto">
                        <a:xfrm>
                          <a:off x="0" y="0"/>
                          <a:ext cx="409575" cy="314325"/>
                        </a:xfrm>
                        <a:prstGeom prst="rect">
                          <a:avLst/>
                        </a:prstGeom>
                        <a:noFill/>
                        <a:ln>
                          <a:noFill/>
                        </a:ln>
                        <a:effectLst/>
                      </wps:spPr>
                      <wps:txbx>
                        <w:txbxContent>
                          <w:p w14:paraId="46318B16">
                            <w:r>
                              <w:rPr>
                                <w:rFonts w:ascii="Times New Roman" w:hAnsi="Times New Roman" w:cs="Times New Roman"/>
                                <w:b/>
                                <w:bCs/>
                                <w:sz w:val="24"/>
                                <w:szCs w:val="24"/>
                              </w:rPr>
                              <w:t>H1</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4.15pt;margin-top:10.55pt;height:24.75pt;width:32.25pt;z-index:251670528;mso-width-relative:page;mso-height-relative:page;" filled="f" stroked="f" coordsize="21600,21600" o:gfxdata="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2mbDz1wAAAAkBAAAPAAAAAAAAAAEA&#10;IAAAACIAAABkcnMvZG93bnJldi54bWxQSwECFAAUAAAACACHTuJAwc0ciRACAAAoBAAADgAAAAAA&#10;AAABACAAAAAmAQAAZHJzL2Uyb0RvYy54bWxQSwUGAAAAAAYABgBZAQAAqAUAAAAA&#10;">
                <v:fill on="f" focussize="0,0"/>
                <v:stroke on="f"/>
                <v:imagedata o:title=""/>
                <o:lock v:ext="edit" aspectratio="f"/>
                <v:textbox>
                  <w:txbxContent>
                    <w:p w14:paraId="46318B16">
                      <w:r>
                        <w:rPr>
                          <w:rFonts w:ascii="Times New Roman" w:hAnsi="Times New Roman" w:cs="Times New Roman"/>
                          <w:b/>
                          <w:bCs/>
                          <w:sz w:val="24"/>
                          <w:szCs w:val="24"/>
                        </w:rPr>
                        <w:t>H1</w:t>
                      </w:r>
                    </w:p>
                  </w:txbxContent>
                </v:textbox>
              </v:shape>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1367790</wp:posOffset>
                </wp:positionH>
                <wp:positionV relativeFrom="paragraph">
                  <wp:posOffset>165735</wp:posOffset>
                </wp:positionV>
                <wp:extent cx="808990" cy="530225"/>
                <wp:effectExtent l="2540" t="3810" r="7620" b="18415"/>
                <wp:wrapNone/>
                <wp:docPr id="10" name="Connecteur droit avec flèche 10"/>
                <wp:cNvGraphicFramePr/>
                <a:graphic xmlns:a="http://schemas.openxmlformats.org/drawingml/2006/main">
                  <a:graphicData uri="http://schemas.microsoft.com/office/word/2010/wordprocessingShape">
                    <wps:wsp>
                      <wps:cNvCnPr>
                        <a:cxnSpLocks noChangeShapeType="1"/>
                      </wps:cNvCnPr>
                      <wps:spPr bwMode="auto">
                        <a:xfrm>
                          <a:off x="0" y="0"/>
                          <a:ext cx="808990" cy="530225"/>
                        </a:xfrm>
                        <a:prstGeom prst="straightConnector1">
                          <a:avLst/>
                        </a:prstGeom>
                        <a:noFill/>
                        <a:ln w="9525">
                          <a:solidFill>
                            <a:srgbClr val="000000"/>
                          </a:solidFill>
                          <a:round/>
                          <a:tailEnd type="triangle" w="med" len="med"/>
                        </a:ln>
                        <a:effectLst/>
                      </wps:spPr>
                      <wps:bodyPr/>
                    </wps:wsp>
                  </a:graphicData>
                </a:graphic>
              </wp:anchor>
            </w:drawing>
          </mc:Choice>
          <mc:Fallback>
            <w:pict>
              <v:shape id="_x0000_s1026" o:spid="_x0000_s1026" o:spt="32" type="#_x0000_t32" style="position:absolute;left:0pt;margin-left:107.7pt;margin-top:13.05pt;height:41.75pt;width:63.7pt;z-index:251664384;mso-width-relative:page;mso-height-relative:page;" filled="f" stroked="t" coordsize="21600,21600" o:gfxdata="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sb+uXZAAAACgEAAA8AAAAAAAAAAQAgAAAAIgAA&#10;AGRycy9kb3ducmV2LnhtbFBLAQIUABQAAAAIAIdO4kDsezPIBwIAAAgEAAAOAAAAAAAAAAEAIAAA&#10;ACgBAABkcnMvZTJvRG9jLnhtbFBLBQYAAAAABgAGAFkBAAChBQAAAAA=&#10;">
                <v:fill on="f" focussize="0,0"/>
                <v:stroke color="#000000" joinstyle="round" endarrow="block"/>
                <v:imagedata o:title=""/>
                <o:lock v:ext="edit" aspectratio="f"/>
              </v:shape>
            </w:pict>
          </mc:Fallback>
        </mc:AlternateContent>
      </w:r>
      <w:r>
        <w:rPr>
          <w:rFonts w:ascii="Times New Roman" w:hAnsi="Times New Roman" w:eastAsia="Times New Roman" w:cs="Times New Roman"/>
          <w:b/>
          <w:bCs/>
          <w:sz w:val="24"/>
          <w:szCs w:val="24"/>
          <w:lang w:eastAsia="fr-FR"/>
        </w:rPr>
        <w:tab/>
      </w:r>
    </w:p>
    <w:p w14:paraId="3BDC580E">
      <w:pPr>
        <w:tabs>
          <w:tab w:val="left" w:pos="2348"/>
        </w:tabs>
        <w:spacing w:after="200" w:line="36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193040</wp:posOffset>
                </wp:positionH>
                <wp:positionV relativeFrom="paragraph">
                  <wp:posOffset>106680</wp:posOffset>
                </wp:positionV>
                <wp:extent cx="1159510" cy="683895"/>
                <wp:effectExtent l="5080" t="4445" r="16510" b="16510"/>
                <wp:wrapNone/>
                <wp:docPr id="8" name="Rectangle 8"/>
                <wp:cNvGraphicFramePr/>
                <a:graphic xmlns:a="http://schemas.openxmlformats.org/drawingml/2006/main">
                  <a:graphicData uri="http://schemas.microsoft.com/office/word/2010/wordprocessingShape">
                    <wps:wsp>
                      <wps:cNvSpPr>
                        <a:spLocks noChangeArrowheads="1"/>
                      </wps:cNvSpPr>
                      <wps:spPr bwMode="auto">
                        <a:xfrm>
                          <a:off x="0" y="0"/>
                          <a:ext cx="1159510" cy="683895"/>
                        </a:xfrm>
                        <a:prstGeom prst="rect">
                          <a:avLst/>
                        </a:prstGeom>
                        <a:solidFill>
                          <a:srgbClr val="FFFFFF"/>
                        </a:solidFill>
                        <a:ln w="9525">
                          <a:solidFill>
                            <a:srgbClr val="000000"/>
                          </a:solidFill>
                          <a:miter lim="800000"/>
                        </a:ln>
                        <a:effectLst/>
                      </wps:spPr>
                      <wps:txbx>
                        <w:txbxContent>
                          <w:p w14:paraId="01794A43">
                            <w:r>
                              <w:rPr>
                                <w:rFonts w:ascii="Cambria" w:hAnsi="Cambria" w:cs="Times New Roman"/>
                                <w:sz w:val="24"/>
                                <w:szCs w:val="24"/>
                              </w:rPr>
                              <w:t>Facilité d’utilisation</w:t>
                            </w:r>
                            <w:r>
                              <w:rPr>
                                <w:rFonts w:ascii="Times New Roman" w:hAnsi="Times New Roman" w:cs="Times New Roman"/>
                                <w:sz w:val="24"/>
                                <w:szCs w:val="24"/>
                              </w:rPr>
                              <w:t xml:space="preserve"> p</w:t>
                            </w:r>
                            <w:r>
                              <w:t>erçue</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2pt;margin-top:8.4pt;height:53.85pt;width:91.3pt;z-index:251660288;mso-width-relative:page;mso-height-relative:page;" fillcolor="#FFFFFF" filled="t" stroked="t" coordsize="21600,21600" o:gfxdata="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Qs+711gAAAAkBAAAPAAAAAAAAAAEAIAAAACIAAABkcnMvZG93bnJldi54bWxQ&#10;SwECFAAUAAAACACHTuJA1qXt1jICAACLBAAADgAAAAAAAAABACAAAAAlAQAAZHJzL2Uyb0RvYy54&#10;bWxQSwUGAAAAAAYABgBZAQAAyQUAAAAA&#10;">
                <v:fill on="t" focussize="0,0"/>
                <v:stroke color="#000000" miterlimit="8" joinstyle="miter"/>
                <v:imagedata o:title=""/>
                <o:lock v:ext="edit" aspectratio="f"/>
                <v:textbox>
                  <w:txbxContent>
                    <w:p w14:paraId="01794A43">
                      <w:r>
                        <w:rPr>
                          <w:rFonts w:ascii="Cambria" w:hAnsi="Cambria" w:cs="Times New Roman"/>
                          <w:sz w:val="24"/>
                          <w:szCs w:val="24"/>
                        </w:rPr>
                        <w:t>Facilité d’utilisation</w:t>
                      </w:r>
                      <w:r>
                        <w:rPr>
                          <w:rFonts w:ascii="Times New Roman" w:hAnsi="Times New Roman" w:cs="Times New Roman"/>
                          <w:sz w:val="24"/>
                          <w:szCs w:val="24"/>
                        </w:rPr>
                        <w:t xml:space="preserve"> p</w:t>
                      </w:r>
                      <w:r>
                        <w:t>erçue</w:t>
                      </w:r>
                    </w:p>
                  </w:txbxContent>
                </v:textbox>
              </v:rect>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5408" behindDoc="0" locked="0" layoutInCell="1" allowOverlap="1">
                <wp:simplePos x="0" y="0"/>
                <wp:positionH relativeFrom="column">
                  <wp:posOffset>1365250</wp:posOffset>
                </wp:positionH>
                <wp:positionV relativeFrom="paragraph">
                  <wp:posOffset>382905</wp:posOffset>
                </wp:positionV>
                <wp:extent cx="811530" cy="4445"/>
                <wp:effectExtent l="0" t="37465" r="7620" b="34290"/>
                <wp:wrapNone/>
                <wp:docPr id="4" name="Connecteur droit avec flèche 4"/>
                <wp:cNvGraphicFramePr/>
                <a:graphic xmlns:a="http://schemas.openxmlformats.org/drawingml/2006/main">
                  <a:graphicData uri="http://schemas.microsoft.com/office/word/2010/wordprocessingShape">
                    <wps:wsp>
                      <wps:cNvCnPr/>
                      <wps:spPr>
                        <a:xfrm flipV="1">
                          <a:off x="0" y="0"/>
                          <a:ext cx="811530" cy="44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07.5pt;margin-top:30.15pt;height:0.35pt;width:63.9pt;z-index:251665408;mso-width-relative:page;mso-height-relative:page;" filled="f" stroked="t" coordsize="21600,21600" o:gfxdata="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QKS9D2AAAAAkBAAAPAAAAAAAAAAEAIAAAACIAAABkcnMvZG93bnJl&#10;di54bWxQSwECFAAUAAAACACHTuJAQ6YQv/0BAAAEBAAADgAAAAAAAAABACAAAAAnAQAAZHJzL2Uy&#10;b0RvYy54bWxQSwUGAAAAAAYABgBZAQAAlgUAAAAA&#10;">
                <v:fill on="f" focussize="0,0"/>
                <v:stroke color="#000000" joinstyle="round" endarrow="block"/>
                <v:imagedata o:title=""/>
                <o:lock v:ext="edit" aspectratio="f"/>
              </v:shape>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5257800</wp:posOffset>
                </wp:positionH>
                <wp:positionV relativeFrom="paragraph">
                  <wp:posOffset>196850</wp:posOffset>
                </wp:positionV>
                <wp:extent cx="1122045" cy="415290"/>
                <wp:effectExtent l="4445" t="5080" r="16510" b="17780"/>
                <wp:wrapNone/>
                <wp:docPr id="9" name="Rectangle 9"/>
                <wp:cNvGraphicFramePr/>
                <a:graphic xmlns:a="http://schemas.openxmlformats.org/drawingml/2006/main">
                  <a:graphicData uri="http://schemas.microsoft.com/office/word/2010/wordprocessingShape">
                    <wps:wsp>
                      <wps:cNvSpPr>
                        <a:spLocks noChangeArrowheads="1"/>
                      </wps:cNvSpPr>
                      <wps:spPr bwMode="auto">
                        <a:xfrm>
                          <a:off x="0" y="0"/>
                          <a:ext cx="1122045" cy="415290"/>
                        </a:xfrm>
                        <a:prstGeom prst="rect">
                          <a:avLst/>
                        </a:prstGeom>
                        <a:solidFill>
                          <a:srgbClr val="FFFFFF"/>
                        </a:solidFill>
                        <a:ln w="9525">
                          <a:solidFill>
                            <a:srgbClr val="000000"/>
                          </a:solidFill>
                          <a:miter lim="800000"/>
                        </a:ln>
                        <a:effectLst/>
                      </wps:spPr>
                      <wps:txbx>
                        <w:txbxContent>
                          <w:p w14:paraId="037C044C">
                            <w:pPr>
                              <w:rPr>
                                <w:rFonts w:ascii="Cambria" w:hAnsi="Cambria" w:cs="Times New Roman"/>
                                <w:sz w:val="24"/>
                                <w:szCs w:val="24"/>
                              </w:rPr>
                            </w:pPr>
                            <w:r>
                              <w:rPr>
                                <w:rFonts w:ascii="Cambria" w:hAnsi="Cambria" w:cs="Times New Roman"/>
                                <w:sz w:val="24"/>
                                <w:szCs w:val="24"/>
                              </w:rPr>
                              <w:t xml:space="preserve"> Intention</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14pt;margin-top:15.5pt;height:32.7pt;width:88.35pt;z-index:251663360;mso-width-relative:page;mso-height-relative:page;" fillcolor="#FFFFFF" filled="t" stroked="t" coordsize="21600,21600" o:gfxdata="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8reiNkAAAAKAQAADwAAAAAAAAABACAAAAAiAAAAZHJzL2Rvd25yZXYu&#10;eG1sUEsBAhQAFAAAAAgAh07iQJFqviQzAgAAiwQAAA4AAAAAAAAAAQAgAAAAKAEAAGRycy9lMm9E&#10;b2MueG1sUEsFBgAAAAAGAAYAWQEAAM0FAAAAAA==&#10;">
                <v:fill on="t" focussize="0,0"/>
                <v:stroke color="#000000" miterlimit="8" joinstyle="miter"/>
                <v:imagedata o:title=""/>
                <o:lock v:ext="edit" aspectratio="f"/>
                <v:textbox>
                  <w:txbxContent>
                    <w:p w14:paraId="037C044C">
                      <w:pPr>
                        <w:rPr>
                          <w:rFonts w:ascii="Cambria" w:hAnsi="Cambria" w:cs="Times New Roman"/>
                          <w:sz w:val="24"/>
                          <w:szCs w:val="24"/>
                        </w:rPr>
                      </w:pPr>
                      <w:r>
                        <w:rPr>
                          <w:rFonts w:ascii="Cambria" w:hAnsi="Cambria" w:cs="Times New Roman"/>
                          <w:sz w:val="24"/>
                          <w:szCs w:val="24"/>
                        </w:rPr>
                        <w:t xml:space="preserve"> Intention</w:t>
                      </w:r>
                    </w:p>
                  </w:txbxContent>
                </v:textbox>
              </v:rect>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8480" behindDoc="0" locked="0" layoutInCell="1" allowOverlap="1">
                <wp:simplePos x="0" y="0"/>
                <wp:positionH relativeFrom="column">
                  <wp:posOffset>3686175</wp:posOffset>
                </wp:positionH>
                <wp:positionV relativeFrom="paragraph">
                  <wp:posOffset>196850</wp:posOffset>
                </wp:positionV>
                <wp:extent cx="1122045" cy="415290"/>
                <wp:effectExtent l="4445" t="5080" r="16510" b="17780"/>
                <wp:wrapNone/>
                <wp:docPr id="7" name="Rectangle 7"/>
                <wp:cNvGraphicFramePr/>
                <a:graphic xmlns:a="http://schemas.openxmlformats.org/drawingml/2006/main">
                  <a:graphicData uri="http://schemas.microsoft.com/office/word/2010/wordprocessingShape">
                    <wps:wsp>
                      <wps:cNvSpPr>
                        <a:spLocks noChangeArrowheads="1"/>
                      </wps:cNvSpPr>
                      <wps:spPr bwMode="auto">
                        <a:xfrm>
                          <a:off x="0" y="0"/>
                          <a:ext cx="1122045" cy="415290"/>
                        </a:xfrm>
                        <a:prstGeom prst="rect">
                          <a:avLst/>
                        </a:prstGeom>
                        <a:solidFill>
                          <a:srgbClr val="FFFFFF"/>
                        </a:solidFill>
                        <a:ln w="9525">
                          <a:solidFill>
                            <a:srgbClr val="000000"/>
                          </a:solidFill>
                          <a:miter lim="800000"/>
                        </a:ln>
                        <a:effectLst/>
                      </wps:spPr>
                      <wps:txbx>
                        <w:txbxContent>
                          <w:p w14:paraId="03A8D375">
                            <w:pPr>
                              <w:rPr>
                                <w:rFonts w:ascii="Cambria" w:hAnsi="Cambria" w:cs="Times New Roman"/>
                                <w:sz w:val="24"/>
                                <w:szCs w:val="24"/>
                              </w:rPr>
                            </w:pPr>
                            <w:r>
                              <w:rPr>
                                <w:rFonts w:ascii="Cambria" w:hAnsi="Cambria" w:cs="Times New Roman"/>
                                <w:sz w:val="24"/>
                                <w:szCs w:val="24"/>
                              </w:rPr>
                              <w:t xml:space="preserve">Motivation </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90.25pt;margin-top:15.5pt;height:32.7pt;width:88.35pt;z-index:251668480;mso-width-relative:page;mso-height-relative:page;" fillcolor="#FFFFFF" filled="t" stroked="t" coordsize="21600,21600" o:gfxdata="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YrP4dkAAAAJAQAADwAAAAAAAAABACAAAAAiAAAAZHJzL2Rvd25yZXYu&#10;eG1sUEsBAhQAFAAAAAgAh07iQAtFpwgzAgAAiwQAAA4AAAAAAAAAAQAgAAAAKAEAAGRycy9lMm9E&#10;b2MueG1sUEsFBgAAAAAGAAYAWQEAAM0FAAAAAA==&#10;">
                <v:fill on="t" focussize="0,0"/>
                <v:stroke color="#000000" miterlimit="8" joinstyle="miter"/>
                <v:imagedata o:title=""/>
                <o:lock v:ext="edit" aspectratio="f"/>
                <v:textbox>
                  <w:txbxContent>
                    <w:p w14:paraId="03A8D375">
                      <w:pPr>
                        <w:rPr>
                          <w:rFonts w:ascii="Cambria" w:hAnsi="Cambria" w:cs="Times New Roman"/>
                          <w:sz w:val="24"/>
                          <w:szCs w:val="24"/>
                        </w:rPr>
                      </w:pPr>
                      <w:r>
                        <w:rPr>
                          <w:rFonts w:ascii="Cambria" w:hAnsi="Cambria" w:cs="Times New Roman"/>
                          <w:sz w:val="24"/>
                          <w:szCs w:val="24"/>
                        </w:rPr>
                        <w:t xml:space="preserve">Motivation </w:t>
                      </w:r>
                    </w:p>
                  </w:txbxContent>
                </v:textbox>
              </v:rect>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3298825</wp:posOffset>
                </wp:positionH>
                <wp:positionV relativeFrom="paragraph">
                  <wp:posOffset>382905</wp:posOffset>
                </wp:positionV>
                <wp:extent cx="387350" cy="0"/>
                <wp:effectExtent l="0" t="38100" r="12700" b="38100"/>
                <wp:wrapNone/>
                <wp:docPr id="14" name="Connecteur droit avec flèche 14"/>
                <wp:cNvGraphicFramePr/>
                <a:graphic xmlns:a="http://schemas.openxmlformats.org/drawingml/2006/main">
                  <a:graphicData uri="http://schemas.microsoft.com/office/word/2010/wordprocessingShape">
                    <wps:wsp>
                      <wps:cNvCnPr>
                        <a:cxnSpLocks noChangeShapeType="1"/>
                      </wps:cNvCnPr>
                      <wps:spPr bwMode="auto">
                        <a:xfrm>
                          <a:off x="0" y="0"/>
                          <a:ext cx="387350" cy="0"/>
                        </a:xfrm>
                        <a:prstGeom prst="straightConnector1">
                          <a:avLst/>
                        </a:prstGeom>
                        <a:noFill/>
                        <a:ln w="9525">
                          <a:solidFill>
                            <a:srgbClr val="000000"/>
                          </a:solidFill>
                          <a:round/>
                          <a:tailEnd type="triangle" w="med" len="med"/>
                        </a:ln>
                        <a:effectLst/>
                      </wps:spPr>
                      <wps:bodyPr/>
                    </wps:wsp>
                  </a:graphicData>
                </a:graphic>
              </wp:anchor>
            </w:drawing>
          </mc:Choice>
          <mc:Fallback>
            <w:pict>
              <v:shape id="_x0000_s1026" o:spid="_x0000_s1026" o:spt="32" type="#_x0000_t32" style="position:absolute;left:0pt;margin-left:259.75pt;margin-top:30.15pt;height:0pt;width:30.5pt;z-index:251667456;mso-width-relative:page;mso-height-relative:page;" filled="f" stroked="t" coordsize="21600,21600" o:gfxdata="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HuzbdcAAAAJAQAADwAAAAAAAAABACAAAAAiAAAAZHJz&#10;L2Rvd25yZXYueG1sUEsBAhQAFAAAAAgAh07iQB5LDS8FAgAAAwQAAA4AAAAAAAAAAQAgAAAAJgEA&#10;AGRycy9lMm9Eb2MueG1sUEsFBgAAAAAGAAYAWQEAAJ0FAAAAAA==&#10;">
                <v:fill on="f" focussize="0,0"/>
                <v:stroke color="#000000" joinstyle="round" endarrow="block"/>
                <v:imagedata o:title=""/>
                <o:lock v:ext="edit" aspectratio="f"/>
              </v:shape>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2176780</wp:posOffset>
                </wp:positionH>
                <wp:positionV relativeFrom="paragraph">
                  <wp:posOffset>196850</wp:posOffset>
                </wp:positionV>
                <wp:extent cx="1122045" cy="415290"/>
                <wp:effectExtent l="4445" t="5080" r="16510" b="17780"/>
                <wp:wrapNone/>
                <wp:docPr id="5" name="Rectangle 5"/>
                <wp:cNvGraphicFramePr/>
                <a:graphic xmlns:a="http://schemas.openxmlformats.org/drawingml/2006/main">
                  <a:graphicData uri="http://schemas.microsoft.com/office/word/2010/wordprocessingShape">
                    <wps:wsp>
                      <wps:cNvSpPr>
                        <a:spLocks noChangeArrowheads="1"/>
                      </wps:cNvSpPr>
                      <wps:spPr bwMode="auto">
                        <a:xfrm>
                          <a:off x="0" y="0"/>
                          <a:ext cx="1122045" cy="415290"/>
                        </a:xfrm>
                        <a:prstGeom prst="rect">
                          <a:avLst/>
                        </a:prstGeom>
                        <a:solidFill>
                          <a:srgbClr val="FFFFFF"/>
                        </a:solidFill>
                        <a:ln w="9525">
                          <a:solidFill>
                            <a:srgbClr val="000000"/>
                          </a:solidFill>
                          <a:miter lim="800000"/>
                        </a:ln>
                        <a:effectLst/>
                      </wps:spPr>
                      <wps:txbx>
                        <w:txbxContent>
                          <w:p w14:paraId="3B7AB0E0">
                            <w:pPr>
                              <w:jc w:val="center"/>
                              <w:rPr>
                                <w:rFonts w:ascii="Cambria" w:hAnsi="Cambria" w:cs="Times New Roman"/>
                                <w:sz w:val="24"/>
                                <w:szCs w:val="24"/>
                              </w:rPr>
                            </w:pPr>
                            <w:r>
                              <w:rPr>
                                <w:rFonts w:ascii="Cambria" w:hAnsi="Cambria" w:cs="Times New Roman"/>
                                <w:sz w:val="24"/>
                                <w:szCs w:val="24"/>
                              </w:rPr>
                              <w:t>Attitude</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71.4pt;margin-top:15.5pt;height:32.7pt;width:88.35pt;z-index:251662336;mso-width-relative:page;mso-height-relative:page;" fillcolor="#FFFFFF" filled="t" stroked="t" coordsize="21600,21600" o:gfxdata="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yQd1A2AAAAAkBAAAPAAAAAAAAAAEAIAAAACIAAABkcnMvZG93bnJldi54&#10;bWxQSwECFAAUAAAACACHTuJAVSfPBzMCAACLBAAADgAAAAAAAAABACAAAAAnAQAAZHJzL2Uyb0Rv&#10;Yy54bWxQSwUGAAAAAAYABgBZAQAAzAUAAAAA&#10;">
                <v:fill on="t" focussize="0,0"/>
                <v:stroke color="#000000" miterlimit="8" joinstyle="miter"/>
                <v:imagedata o:title=""/>
                <o:lock v:ext="edit" aspectratio="f"/>
                <v:textbox>
                  <w:txbxContent>
                    <w:p w14:paraId="3B7AB0E0">
                      <w:pPr>
                        <w:jc w:val="center"/>
                        <w:rPr>
                          <w:rFonts w:ascii="Cambria" w:hAnsi="Cambria" w:cs="Times New Roman"/>
                          <w:sz w:val="24"/>
                          <w:szCs w:val="24"/>
                        </w:rPr>
                      </w:pPr>
                      <w:r>
                        <w:rPr>
                          <w:rFonts w:ascii="Cambria" w:hAnsi="Cambria" w:cs="Times New Roman"/>
                          <w:sz w:val="24"/>
                          <w:szCs w:val="24"/>
                        </w:rPr>
                        <w:t>Attitude</w:t>
                      </w:r>
                    </w:p>
                  </w:txbxContent>
                </v:textbox>
              </v:rect>
            </w:pict>
          </mc:Fallback>
        </mc:AlternateContent>
      </w:r>
      <w:r>
        <w:rPr>
          <w:rFonts w:ascii="Times New Roman" w:hAnsi="Times New Roman" w:eastAsia="Times New Roman" w:cs="Times New Roman"/>
          <w:b/>
          <w:bCs/>
          <w:sz w:val="24"/>
          <w:szCs w:val="24"/>
          <w:lang w:eastAsia="fr-FR"/>
        </w:rPr>
        <w:tab/>
      </w:r>
    </w:p>
    <w:p w14:paraId="3875E7A1">
      <w:pPr>
        <w:tabs>
          <w:tab w:val="left" w:pos="5482"/>
          <w:tab w:val="left" w:pos="6099"/>
          <w:tab w:val="left" w:pos="7892"/>
        </w:tabs>
        <w:spacing w:after="200" w:line="36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9504" behindDoc="0" locked="0" layoutInCell="1" allowOverlap="1">
                <wp:simplePos x="0" y="0"/>
                <wp:positionH relativeFrom="column">
                  <wp:posOffset>4800600</wp:posOffset>
                </wp:positionH>
                <wp:positionV relativeFrom="paragraph">
                  <wp:posOffset>-6985</wp:posOffset>
                </wp:positionV>
                <wp:extent cx="494665" cy="0"/>
                <wp:effectExtent l="0" t="38100" r="635" b="38100"/>
                <wp:wrapNone/>
                <wp:docPr id="2" name="Connecteur droit avec flèche 2"/>
                <wp:cNvGraphicFramePr/>
                <a:graphic xmlns:a="http://schemas.openxmlformats.org/drawingml/2006/main">
                  <a:graphicData uri="http://schemas.microsoft.com/office/word/2010/wordprocessingShape">
                    <wps:wsp>
                      <wps:cNvCnPr>
                        <a:cxnSpLocks noChangeShapeType="1"/>
                      </wps:cNvCnPr>
                      <wps:spPr bwMode="auto">
                        <a:xfrm>
                          <a:off x="0" y="0"/>
                          <a:ext cx="494665" cy="0"/>
                        </a:xfrm>
                        <a:prstGeom prst="straightConnector1">
                          <a:avLst/>
                        </a:prstGeom>
                        <a:noFill/>
                        <a:ln w="9525">
                          <a:solidFill>
                            <a:srgbClr val="000000"/>
                          </a:solidFill>
                          <a:round/>
                          <a:tailEnd type="triangle" w="med" len="med"/>
                        </a:ln>
                        <a:effectLst/>
                      </wps:spPr>
                      <wps:bodyPr/>
                    </wps:wsp>
                  </a:graphicData>
                </a:graphic>
              </wp:anchor>
            </w:drawing>
          </mc:Choice>
          <mc:Fallback>
            <w:pict>
              <v:shape id="_x0000_s1026" o:spid="_x0000_s1026" o:spt="32" type="#_x0000_t32" style="position:absolute;left:0pt;margin-left:378pt;margin-top:-0.55pt;height:0pt;width:38.95pt;z-index:251669504;mso-width-relative:page;mso-height-relative:page;" filled="f" stroked="t" coordsize="21600,21600" o:gfxdata="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SikvNkAAAAJAQAADwAAAAAAAAABACAAAAAiAAAAZHJz&#10;L2Rvd25yZXYueG1sUEsBAhQAFAAAAAgAh07iQLfn++QDAgAAAQQAAA4AAAAAAAAAAQAgAAAAKAEA&#10;AGRycy9lMm9Eb2MueG1sUEsFBgAAAAAGAAYAWQEAAJ0FAAAAAA==&#10;">
                <v:fill on="f" focussize="0,0"/>
                <v:stroke color="#000000" joinstyle="round" endarrow="block"/>
                <v:imagedata o:title=""/>
                <o:lock v:ext="edit" aspectratio="f"/>
              </v:shape>
            </w:pict>
          </mc:Fallback>
        </mc:AlternateContent>
      </w: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6432" behindDoc="0" locked="0" layoutInCell="1" allowOverlap="1">
                <wp:simplePos x="0" y="0"/>
                <wp:positionH relativeFrom="column">
                  <wp:posOffset>1355725</wp:posOffset>
                </wp:positionH>
                <wp:positionV relativeFrom="paragraph">
                  <wp:posOffset>56515</wp:posOffset>
                </wp:positionV>
                <wp:extent cx="821055" cy="560070"/>
                <wp:effectExtent l="2540" t="0" r="14605" b="11430"/>
                <wp:wrapNone/>
                <wp:docPr id="6" name="Connecteur droit avec flèche 6"/>
                <wp:cNvGraphicFramePr/>
                <a:graphic xmlns:a="http://schemas.openxmlformats.org/drawingml/2006/main">
                  <a:graphicData uri="http://schemas.microsoft.com/office/word/2010/wordprocessingShape">
                    <wps:wsp>
                      <wps:cNvCnPr>
                        <a:cxnSpLocks noChangeShapeType="1"/>
                      </wps:cNvCnPr>
                      <wps:spPr bwMode="auto">
                        <a:xfrm flipV="1">
                          <a:off x="0" y="0"/>
                          <a:ext cx="821055" cy="560070"/>
                        </a:xfrm>
                        <a:prstGeom prst="straightConnector1">
                          <a:avLst/>
                        </a:prstGeom>
                        <a:noFill/>
                        <a:ln w="9525">
                          <a:solidFill>
                            <a:srgbClr val="000000"/>
                          </a:solidFill>
                          <a:round/>
                          <a:tailEnd type="triangle" w="med" len="med"/>
                        </a:ln>
                        <a:effectLst/>
                      </wps:spPr>
                      <wps:bodyPr/>
                    </wps:wsp>
                  </a:graphicData>
                </a:graphic>
              </wp:anchor>
            </w:drawing>
          </mc:Choice>
          <mc:Fallback>
            <w:pict>
              <v:shape id="_x0000_s1026" o:spid="_x0000_s1026" o:spt="32" type="#_x0000_t32" style="position:absolute;left:0pt;flip:y;margin-left:106.75pt;margin-top:4.45pt;height:44.1pt;width:64.65pt;z-index:251666432;mso-width-relative:page;mso-height-relative:page;" filled="f" stroked="t" coordsize="21600,21600" o:gfxdata="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y/SDrYAAAACAEAAA8AAAAAAAAAAQAg&#10;AAAAIgAAAGRycy9kb3ducmV2LnhtbFBLAQIUABQAAAAIAIdO4kAaz4GxDgIAABAEAAAOAAAAAAAA&#10;AAEAIAAAACcBAABkcnMvZTJvRG9jLnhtbFBLBQYAAAAABgAGAFkBAACnBQAAAAA=&#10;">
                <v:fill on="f" focussize="0,0"/>
                <v:stroke color="#000000" joinstyle="round" endarrow="block"/>
                <v:imagedata o:title=""/>
                <o:lock v:ext="edit" aspectratio="f"/>
              </v:shape>
            </w:pict>
          </mc:Fallback>
        </mc:AlternateContent>
      </w:r>
      <w:r>
        <w:rPr>
          <w:rFonts w:ascii="Times New Roman" w:hAnsi="Times New Roman" w:eastAsia="Times New Roman" w:cs="Times New Roman"/>
          <w:b/>
          <w:bCs/>
          <w:sz w:val="24"/>
          <w:szCs w:val="24"/>
          <w:lang w:eastAsia="fr-FR"/>
        </w:rPr>
        <w:t xml:space="preserve">                                            H2                                       H4</w:t>
      </w:r>
      <w:r>
        <w:rPr>
          <w:rFonts w:ascii="Times New Roman" w:hAnsi="Times New Roman" w:eastAsia="Times New Roman" w:cs="Times New Roman"/>
          <w:b/>
          <w:bCs/>
          <w:sz w:val="24"/>
          <w:szCs w:val="24"/>
          <w:lang w:eastAsia="fr-FR"/>
        </w:rPr>
        <w:tab/>
      </w:r>
      <w:r>
        <w:rPr>
          <w:rFonts w:ascii="Times New Roman" w:hAnsi="Times New Roman" w:eastAsia="Times New Roman" w:cs="Times New Roman"/>
          <w:b/>
          <w:bCs/>
          <w:sz w:val="24"/>
          <w:szCs w:val="24"/>
          <w:lang w:eastAsia="fr-FR"/>
        </w:rPr>
        <w:t xml:space="preserve">                           H5                       </w:t>
      </w:r>
    </w:p>
    <w:p w14:paraId="461FB15A">
      <w:pPr>
        <w:tabs>
          <w:tab w:val="left" w:pos="2287"/>
        </w:tabs>
        <w:spacing w:after="200" w:line="36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193040</wp:posOffset>
                </wp:positionH>
                <wp:positionV relativeFrom="paragraph">
                  <wp:posOffset>107950</wp:posOffset>
                </wp:positionV>
                <wp:extent cx="1169035" cy="415290"/>
                <wp:effectExtent l="4445" t="5080" r="7620" b="17780"/>
                <wp:wrapNone/>
                <wp:docPr id="13" name="Rectangle 13"/>
                <wp:cNvGraphicFramePr/>
                <a:graphic xmlns:a="http://schemas.openxmlformats.org/drawingml/2006/main">
                  <a:graphicData uri="http://schemas.microsoft.com/office/word/2010/wordprocessingShape">
                    <wps:wsp>
                      <wps:cNvSpPr>
                        <a:spLocks noChangeArrowheads="1"/>
                      </wps:cNvSpPr>
                      <wps:spPr bwMode="auto">
                        <a:xfrm>
                          <a:off x="0" y="0"/>
                          <a:ext cx="1169035" cy="415290"/>
                        </a:xfrm>
                        <a:prstGeom prst="rect">
                          <a:avLst/>
                        </a:prstGeom>
                        <a:solidFill>
                          <a:srgbClr val="FFFFFF"/>
                        </a:solidFill>
                        <a:ln w="9525">
                          <a:solidFill>
                            <a:srgbClr val="000000"/>
                          </a:solidFill>
                          <a:miter lim="800000"/>
                        </a:ln>
                        <a:effectLst/>
                      </wps:spPr>
                      <wps:txbx>
                        <w:txbxContent>
                          <w:p w14:paraId="2828CAF4">
                            <w:pPr>
                              <w:rPr>
                                <w:rFonts w:ascii="Cambria" w:hAnsi="Cambria" w:cs="Times New Roman"/>
                                <w:sz w:val="24"/>
                                <w:szCs w:val="24"/>
                              </w:rPr>
                            </w:pPr>
                            <w:r>
                              <w:rPr>
                                <w:rFonts w:ascii="Cambria" w:hAnsi="Cambria" w:cs="Times New Roman"/>
                                <w:sz w:val="24"/>
                                <w:szCs w:val="24"/>
                              </w:rPr>
                              <w:t>Engagement</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2pt;margin-top:8.5pt;height:32.7pt;width:92.05pt;z-index:251661312;mso-width-relative:page;mso-height-relative:page;" fillcolor="#FFFFFF" filled="t" stroked="t" coordsize="21600,21600" o:gfxdata="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pPISs1gAAAAgBAAAPAAAAAAAAAAEAIAAAACIAAABkcnMvZG93bnJldi54&#10;bWxQSwECFAAUAAAACACHTuJAdWh0CjUCAACNBAAADgAAAAAAAAABACAAAAAlAQAAZHJzL2Uyb0Rv&#10;Yy54bWxQSwUGAAAAAAYABgBZAQAAzAUAAAAA&#10;">
                <v:fill on="t" focussize="0,0"/>
                <v:stroke color="#000000" miterlimit="8" joinstyle="miter"/>
                <v:imagedata o:title=""/>
                <o:lock v:ext="edit" aspectratio="f"/>
                <v:textbox>
                  <w:txbxContent>
                    <w:p w14:paraId="2828CAF4">
                      <w:pPr>
                        <w:rPr>
                          <w:rFonts w:ascii="Cambria" w:hAnsi="Cambria" w:cs="Times New Roman"/>
                          <w:sz w:val="24"/>
                          <w:szCs w:val="24"/>
                        </w:rPr>
                      </w:pPr>
                      <w:r>
                        <w:rPr>
                          <w:rFonts w:ascii="Cambria" w:hAnsi="Cambria" w:cs="Times New Roman"/>
                          <w:sz w:val="24"/>
                          <w:szCs w:val="24"/>
                        </w:rPr>
                        <w:t>Engagement</w:t>
                      </w:r>
                    </w:p>
                  </w:txbxContent>
                </v:textbox>
              </v:rect>
            </w:pict>
          </mc:Fallback>
        </mc:AlternateContent>
      </w:r>
      <w:r>
        <w:rPr>
          <w:rFonts w:ascii="Times New Roman" w:hAnsi="Times New Roman" w:eastAsia="Times New Roman" w:cs="Times New Roman"/>
          <w:b/>
          <w:bCs/>
          <w:sz w:val="24"/>
          <w:szCs w:val="24"/>
          <w:lang w:eastAsia="fr-FR"/>
        </w:rPr>
        <w:tab/>
      </w:r>
      <w:r>
        <w:rPr>
          <w:rFonts w:ascii="Times New Roman" w:hAnsi="Times New Roman" w:eastAsia="Times New Roman" w:cs="Times New Roman"/>
          <w:b/>
          <w:bCs/>
          <w:sz w:val="24"/>
          <w:szCs w:val="24"/>
          <w:lang w:eastAsia="fr-FR"/>
        </w:rPr>
        <w:t xml:space="preserve">      H3</w:t>
      </w:r>
    </w:p>
    <w:p w14:paraId="144398EF">
      <w:pPr>
        <w:spacing w:after="0" w:line="240" w:lineRule="auto"/>
        <w:jc w:val="both"/>
        <w:rPr>
          <w:rFonts w:ascii="Times New Roman" w:hAnsi="Times New Roman" w:eastAsia="Times New Roman" w:cs="Times New Roman"/>
          <w:b/>
          <w:bCs/>
          <w:color w:val="000000"/>
          <w:sz w:val="24"/>
          <w:szCs w:val="24"/>
          <w:lang w:eastAsia="fr-FR"/>
        </w:rPr>
      </w:pPr>
    </w:p>
    <w:p w14:paraId="367947B3">
      <w:pPr>
        <w:autoSpaceDE w:val="0"/>
        <w:autoSpaceDN w:val="0"/>
        <w:adjustRightInd w:val="0"/>
        <w:rPr>
          <w:rFonts w:hint="default" w:asciiTheme="majorBidi" w:hAnsiTheme="majorBidi" w:cstheme="majorBidi"/>
          <w:b/>
          <w:bCs/>
          <w:sz w:val="24"/>
          <w:szCs w:val="24"/>
          <w:lang w:val="fr-FR"/>
        </w:rPr>
      </w:pPr>
      <w:r>
        <w:rPr>
          <w:rFonts w:hint="default" w:asciiTheme="majorBidi" w:hAnsiTheme="majorBidi" w:cstheme="majorBidi"/>
          <w:sz w:val="24"/>
          <w:szCs w:val="24"/>
          <w:lang w:val="fr-FR"/>
        </w:rPr>
        <w:t xml:space="preserve">                                                                                </w:t>
      </w:r>
      <w:r>
        <w:rPr>
          <w:rFonts w:hint="default" w:asciiTheme="majorBidi" w:hAnsiTheme="majorBidi" w:cstheme="majorBidi"/>
          <w:b/>
          <w:bCs/>
          <w:sz w:val="24"/>
          <w:szCs w:val="24"/>
          <w:lang w:val="fr-FR"/>
        </w:rPr>
        <w:t xml:space="preserve"> Source:Élaboration personnelle </w:t>
      </w:r>
    </w:p>
    <w:p w14:paraId="2EE5B26C">
      <w:pPr>
        <w:spacing w:after="0" w:line="240" w:lineRule="auto"/>
        <w:jc w:val="both"/>
        <w:rPr>
          <w:rFonts w:ascii="Times New Roman" w:hAnsi="Times New Roman" w:eastAsia="Times New Roman" w:cs="Times New Roman"/>
          <w:b/>
          <w:bCs/>
          <w:color w:val="000000"/>
          <w:sz w:val="24"/>
          <w:szCs w:val="24"/>
          <w:lang w:eastAsia="fr-FR"/>
        </w:rPr>
      </w:pPr>
    </w:p>
    <w:p w14:paraId="617C6B41">
      <w:pPr>
        <w:pStyle w:val="14"/>
        <w:numPr>
          <w:ilvl w:val="0"/>
          <w:numId w:val="1"/>
        </w:numPr>
        <w:spacing w:after="0" w:line="240" w:lineRule="auto"/>
        <w:ind w:left="720" w:leftChars="0" w:hanging="360" w:firstLineChars="0"/>
        <w:jc w:val="both"/>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b/>
          <w:bCs/>
          <w:color w:val="000000"/>
          <w:sz w:val="24"/>
          <w:szCs w:val="24"/>
          <w:lang w:eastAsia="fr-FR"/>
        </w:rPr>
        <w:t>Méthodologie de la recherche </w:t>
      </w:r>
    </w:p>
    <w:p w14:paraId="3E3FC48A">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Cette étude a pour objectif d’analyser la perception des étudiants du réseau des Instituts Supérieurs des Études Technologiques (ISET) concernant l’adoption d’une nouvelle technologie de formation intégrant les soft skills. Une démarche quantitative a été retenue à travers l’administration en ligne d’un questionnaire, permettant de toucher un large public et de renforcer la représentativité des résultats. L’échantillon est composé de 401 répondants, dont 52,6 % de femmes, et la tranche d’âge de 25 à 30 ans représente 30,4 % de l’ensemble des participants (voir Tableau 1).</w:t>
      </w:r>
    </w:p>
    <w:p w14:paraId="3E3ADAF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 Le questionnaire a été élaboré à partir des variables du modèle conceptuel, chacune étant mesurée par plusieurs items issus de la littérature : l’utilité perçue, la facilité d’utilisation perçue et l’intention d’apprentissage ont été mesurées par 6 items chacun, adaptés de la recherche d’Adams et al. (1992). La variable « engagement » a été évaluée par 8 items issus de l’échelle d’Allen et Meyer (1990), tandis que l’attitude a été mesurée à l’aide de 11 items empruntés à Shih et Gamon (2001). Enfin, la motivation a été opérationnalisée à travers 16 items inspirés de l’étude de Ayari et al. (2023). L’ensemble des items a été évalué sur une échelle de Likert en 5 points, allant de 1 (« pas du tout d’accord ») à 5 (« tout à fait d’accord »).</w:t>
      </w:r>
    </w:p>
    <w:p w14:paraId="0DFCE759">
      <w:pPr>
        <w:rPr>
          <w:rFonts w:ascii="Times New Roman" w:hAnsi="Times New Roman" w:cs="Times New Roman"/>
          <w:b/>
          <w:bCs/>
          <w:sz w:val="24"/>
          <w:szCs w:val="24"/>
        </w:rPr>
      </w:pPr>
      <w:r>
        <w:rPr>
          <w:rFonts w:ascii="Times New Roman" w:hAnsi="Times New Roman" w:cs="Times New Roman"/>
          <w:b/>
          <w:bCs/>
          <w:sz w:val="24"/>
          <w:szCs w:val="24"/>
        </w:rPr>
        <w:t xml:space="preserve">Tableau </w:t>
      </w:r>
      <w:r>
        <w:rPr>
          <w:rFonts w:asciiTheme="majorBidi" w:hAnsiTheme="majorBidi" w:cstheme="majorBidi"/>
          <w:b/>
          <w:sz w:val="24"/>
          <w:szCs w:val="24"/>
        </w:rPr>
        <w:t>N°1</w:t>
      </w:r>
      <w:r>
        <w:rPr>
          <w:rFonts w:ascii="Times New Roman" w:hAnsi="Times New Roman" w:cs="Times New Roman"/>
          <w:b/>
          <w:bCs/>
          <w:sz w:val="24"/>
          <w:szCs w:val="24"/>
        </w:rPr>
        <w:t xml:space="preserve">: Les caractéristiques sociodémographiques de l’échantillon </w:t>
      </w:r>
    </w:p>
    <w:tbl>
      <w:tblPr>
        <w:tblStyle w:val="11"/>
        <w:tblpPr w:leftFromText="141" w:rightFromText="141" w:vertAnchor="text" w:horzAnchor="margin" w:tblpXSpec="center" w:tblpY="1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2410"/>
        <w:gridCol w:w="1275"/>
        <w:gridCol w:w="1843"/>
      </w:tblGrid>
      <w:tr w14:paraId="60AE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4957" w:type="dxa"/>
            <w:gridSpan w:val="2"/>
            <w:shd w:val="clear" w:color="auto" w:fill="FFFFFF"/>
            <w:noWrap w:val="0"/>
            <w:vAlign w:val="top"/>
          </w:tcPr>
          <w:p w14:paraId="282A18C0">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Les caractéristiques démographiques</w:t>
            </w:r>
          </w:p>
        </w:tc>
        <w:tc>
          <w:tcPr>
            <w:tcW w:w="1275" w:type="dxa"/>
            <w:shd w:val="clear" w:color="auto" w:fill="FFFFFF"/>
            <w:noWrap w:val="0"/>
            <w:vAlign w:val="top"/>
          </w:tcPr>
          <w:p w14:paraId="4700C9B6">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Effectif</w:t>
            </w:r>
          </w:p>
        </w:tc>
        <w:tc>
          <w:tcPr>
            <w:tcW w:w="1843" w:type="dxa"/>
            <w:shd w:val="clear" w:color="auto" w:fill="FFFFFF"/>
            <w:noWrap w:val="0"/>
            <w:vAlign w:val="top"/>
          </w:tcPr>
          <w:p w14:paraId="2E9B02A1">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Pourcentage</w:t>
            </w:r>
          </w:p>
        </w:tc>
      </w:tr>
      <w:tr w14:paraId="11C7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2547" w:type="dxa"/>
            <w:vMerge w:val="restart"/>
            <w:shd w:val="clear" w:color="auto" w:fill="FFFFFF"/>
            <w:noWrap w:val="0"/>
            <w:vAlign w:val="top"/>
          </w:tcPr>
          <w:p w14:paraId="3B368E9F">
            <w:pPr>
              <w:spacing w:after="0" w:line="240" w:lineRule="auto"/>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Genre</w:t>
            </w:r>
          </w:p>
          <w:p w14:paraId="230809F3">
            <w:pPr>
              <w:spacing w:after="0" w:line="240" w:lineRule="auto"/>
              <w:rPr>
                <w:rFonts w:ascii="Times New Roman" w:hAnsi="Times New Roman" w:cs="Times New Roman"/>
                <w:b/>
                <w:iCs/>
                <w:sz w:val="24"/>
                <w:szCs w:val="24"/>
                <w:lang w:val="en-US"/>
              </w:rPr>
            </w:pPr>
          </w:p>
        </w:tc>
        <w:tc>
          <w:tcPr>
            <w:tcW w:w="2410" w:type="dxa"/>
            <w:shd w:val="clear" w:color="auto" w:fill="FFFFFF"/>
            <w:noWrap w:val="0"/>
            <w:vAlign w:val="top"/>
          </w:tcPr>
          <w:p w14:paraId="67F866C9">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Homme</w:t>
            </w:r>
          </w:p>
        </w:tc>
        <w:tc>
          <w:tcPr>
            <w:tcW w:w="1275" w:type="dxa"/>
            <w:shd w:val="clear" w:color="auto" w:fill="FFFFFF"/>
            <w:noWrap w:val="0"/>
            <w:vAlign w:val="top"/>
          </w:tcPr>
          <w:p w14:paraId="67E7D06D">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211</w:t>
            </w:r>
          </w:p>
        </w:tc>
        <w:tc>
          <w:tcPr>
            <w:tcW w:w="1843" w:type="dxa"/>
            <w:shd w:val="clear" w:color="auto" w:fill="FFFFFF"/>
            <w:noWrap w:val="0"/>
            <w:vAlign w:val="top"/>
          </w:tcPr>
          <w:p w14:paraId="5A46433D">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52.618%</w:t>
            </w:r>
          </w:p>
        </w:tc>
      </w:tr>
      <w:tr w14:paraId="6EED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547" w:type="dxa"/>
            <w:vMerge w:val="continue"/>
            <w:shd w:val="clear" w:color="auto" w:fill="FFFFFF"/>
            <w:noWrap w:val="0"/>
            <w:vAlign w:val="top"/>
          </w:tcPr>
          <w:p w14:paraId="01C70B20">
            <w:pPr>
              <w:spacing w:after="0" w:line="240" w:lineRule="auto"/>
              <w:jc w:val="center"/>
              <w:rPr>
                <w:rFonts w:ascii="Times New Roman" w:hAnsi="Times New Roman" w:cs="Times New Roman"/>
                <w:b/>
                <w:iCs/>
                <w:sz w:val="24"/>
                <w:szCs w:val="24"/>
                <w:lang w:val="en-US"/>
              </w:rPr>
            </w:pPr>
          </w:p>
        </w:tc>
        <w:tc>
          <w:tcPr>
            <w:tcW w:w="2410" w:type="dxa"/>
            <w:shd w:val="clear" w:color="auto" w:fill="FFFFFF"/>
            <w:noWrap w:val="0"/>
            <w:vAlign w:val="top"/>
          </w:tcPr>
          <w:p w14:paraId="0C2AF5F0">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Femme</w:t>
            </w:r>
          </w:p>
        </w:tc>
        <w:tc>
          <w:tcPr>
            <w:tcW w:w="1275" w:type="dxa"/>
            <w:shd w:val="clear" w:color="auto" w:fill="FFFFFF"/>
            <w:noWrap w:val="0"/>
            <w:vAlign w:val="top"/>
          </w:tcPr>
          <w:p w14:paraId="520197C2">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190</w:t>
            </w:r>
          </w:p>
        </w:tc>
        <w:tc>
          <w:tcPr>
            <w:tcW w:w="1843" w:type="dxa"/>
            <w:shd w:val="clear" w:color="auto" w:fill="FFFFFF"/>
            <w:noWrap w:val="0"/>
            <w:vAlign w:val="top"/>
          </w:tcPr>
          <w:p w14:paraId="09A04A89">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47.381%</w:t>
            </w:r>
          </w:p>
        </w:tc>
      </w:tr>
      <w:tr w14:paraId="63B4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2547" w:type="dxa"/>
            <w:vMerge w:val="restart"/>
            <w:shd w:val="clear" w:color="auto" w:fill="FFFFFF"/>
            <w:noWrap w:val="0"/>
            <w:vAlign w:val="top"/>
          </w:tcPr>
          <w:p w14:paraId="76A71216">
            <w:pPr>
              <w:spacing w:after="0" w:line="240" w:lineRule="auto"/>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Age</w:t>
            </w:r>
          </w:p>
        </w:tc>
        <w:tc>
          <w:tcPr>
            <w:tcW w:w="2410" w:type="dxa"/>
            <w:shd w:val="clear" w:color="auto" w:fill="FFFFFF"/>
            <w:noWrap w:val="0"/>
            <w:vAlign w:val="top"/>
          </w:tcPr>
          <w:p w14:paraId="46A224B6">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Entre 18-24 ans</w:t>
            </w:r>
          </w:p>
        </w:tc>
        <w:tc>
          <w:tcPr>
            <w:tcW w:w="1275" w:type="dxa"/>
            <w:shd w:val="clear" w:color="auto" w:fill="FFFFFF"/>
            <w:noWrap w:val="0"/>
            <w:vAlign w:val="top"/>
          </w:tcPr>
          <w:p w14:paraId="2FC05A4D">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121</w:t>
            </w:r>
          </w:p>
        </w:tc>
        <w:tc>
          <w:tcPr>
            <w:tcW w:w="1843" w:type="dxa"/>
            <w:shd w:val="clear" w:color="auto" w:fill="FFFFFF"/>
            <w:noWrap w:val="0"/>
            <w:vAlign w:val="top"/>
          </w:tcPr>
          <w:p w14:paraId="0E05F9E0">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30.3%</w:t>
            </w:r>
          </w:p>
        </w:tc>
      </w:tr>
      <w:tr w14:paraId="3ABA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2547" w:type="dxa"/>
            <w:vMerge w:val="continue"/>
            <w:shd w:val="clear" w:color="auto" w:fill="FFFFFF"/>
            <w:noWrap w:val="0"/>
            <w:vAlign w:val="top"/>
          </w:tcPr>
          <w:p w14:paraId="48FDAAC9">
            <w:pPr>
              <w:spacing w:after="0" w:line="240" w:lineRule="auto"/>
              <w:jc w:val="center"/>
              <w:rPr>
                <w:rFonts w:ascii="Times New Roman" w:hAnsi="Times New Roman" w:cs="Times New Roman"/>
                <w:b/>
                <w:iCs/>
                <w:sz w:val="24"/>
                <w:szCs w:val="24"/>
                <w:lang w:val="en-US"/>
              </w:rPr>
            </w:pPr>
          </w:p>
        </w:tc>
        <w:tc>
          <w:tcPr>
            <w:tcW w:w="2410" w:type="dxa"/>
            <w:shd w:val="clear" w:color="auto" w:fill="FFFFFF"/>
            <w:noWrap w:val="0"/>
            <w:vAlign w:val="top"/>
          </w:tcPr>
          <w:p w14:paraId="59DB6FB4">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Entre 25-30 ans</w:t>
            </w:r>
          </w:p>
        </w:tc>
        <w:tc>
          <w:tcPr>
            <w:tcW w:w="1275" w:type="dxa"/>
            <w:shd w:val="clear" w:color="auto" w:fill="FFFFFF"/>
            <w:noWrap w:val="0"/>
            <w:vAlign w:val="top"/>
          </w:tcPr>
          <w:p w14:paraId="78E58083">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122</w:t>
            </w:r>
          </w:p>
        </w:tc>
        <w:tc>
          <w:tcPr>
            <w:tcW w:w="1843" w:type="dxa"/>
            <w:shd w:val="clear" w:color="auto" w:fill="FFFFFF"/>
            <w:noWrap w:val="0"/>
            <w:vAlign w:val="top"/>
          </w:tcPr>
          <w:p w14:paraId="2C1B8106">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30.4%</w:t>
            </w:r>
          </w:p>
        </w:tc>
      </w:tr>
      <w:tr w14:paraId="2991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547" w:type="dxa"/>
            <w:vMerge w:val="continue"/>
            <w:shd w:val="clear" w:color="auto" w:fill="FFFFFF"/>
            <w:noWrap w:val="0"/>
            <w:vAlign w:val="top"/>
          </w:tcPr>
          <w:p w14:paraId="760BD945">
            <w:pPr>
              <w:spacing w:after="0" w:line="240" w:lineRule="auto"/>
              <w:jc w:val="center"/>
              <w:rPr>
                <w:rFonts w:ascii="Times New Roman" w:hAnsi="Times New Roman" w:cs="Times New Roman"/>
                <w:b/>
                <w:iCs/>
                <w:sz w:val="24"/>
                <w:szCs w:val="24"/>
                <w:lang w:val="en-US"/>
              </w:rPr>
            </w:pPr>
          </w:p>
        </w:tc>
        <w:tc>
          <w:tcPr>
            <w:tcW w:w="2410" w:type="dxa"/>
            <w:shd w:val="clear" w:color="auto" w:fill="FFFFFF"/>
            <w:noWrap w:val="0"/>
            <w:vAlign w:val="top"/>
          </w:tcPr>
          <w:p w14:paraId="1C39A675">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Entre 31-35 ans</w:t>
            </w:r>
          </w:p>
        </w:tc>
        <w:tc>
          <w:tcPr>
            <w:tcW w:w="1275" w:type="dxa"/>
            <w:shd w:val="clear" w:color="auto" w:fill="FFFFFF"/>
            <w:noWrap w:val="0"/>
            <w:vAlign w:val="top"/>
          </w:tcPr>
          <w:p w14:paraId="24822823">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82</w:t>
            </w:r>
          </w:p>
        </w:tc>
        <w:tc>
          <w:tcPr>
            <w:tcW w:w="1843" w:type="dxa"/>
            <w:shd w:val="clear" w:color="auto" w:fill="FFFFFF"/>
            <w:noWrap w:val="0"/>
            <w:vAlign w:val="top"/>
          </w:tcPr>
          <w:p w14:paraId="75288B6F">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20.4%</w:t>
            </w:r>
          </w:p>
        </w:tc>
      </w:tr>
      <w:tr w14:paraId="0291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547" w:type="dxa"/>
            <w:vMerge w:val="continue"/>
            <w:shd w:val="clear" w:color="auto" w:fill="FFFFFF"/>
            <w:noWrap w:val="0"/>
            <w:vAlign w:val="top"/>
          </w:tcPr>
          <w:p w14:paraId="4B0756CA">
            <w:pPr>
              <w:spacing w:after="0" w:line="240" w:lineRule="auto"/>
              <w:jc w:val="center"/>
              <w:rPr>
                <w:rFonts w:ascii="Times New Roman" w:hAnsi="Times New Roman" w:cs="Times New Roman"/>
                <w:b/>
                <w:iCs/>
                <w:sz w:val="24"/>
                <w:szCs w:val="24"/>
                <w:lang w:val="en-US"/>
              </w:rPr>
            </w:pPr>
          </w:p>
        </w:tc>
        <w:tc>
          <w:tcPr>
            <w:tcW w:w="2410" w:type="dxa"/>
            <w:shd w:val="clear" w:color="auto" w:fill="FFFFFF"/>
            <w:noWrap w:val="0"/>
            <w:vAlign w:val="top"/>
          </w:tcPr>
          <w:p w14:paraId="5A004B4B">
            <w:pPr>
              <w:spacing w:after="0" w:line="240" w:lineRule="auto"/>
              <w:jc w:val="center"/>
              <w:rPr>
                <w:rFonts w:ascii="Times New Roman" w:hAnsi="Times New Roman" w:cs="Times New Roman"/>
                <w:bCs/>
                <w:iCs/>
                <w:sz w:val="24"/>
                <w:szCs w:val="24"/>
              </w:rPr>
            </w:pPr>
            <w:r>
              <w:rPr>
                <w:rFonts w:ascii="Times New Roman" w:hAnsi="Times New Roman" w:cs="Times New Roman"/>
                <w:bCs/>
                <w:iCs/>
                <w:sz w:val="24"/>
                <w:szCs w:val="24"/>
              </w:rPr>
              <w:t>Plus de 40 ans</w:t>
            </w:r>
          </w:p>
        </w:tc>
        <w:tc>
          <w:tcPr>
            <w:tcW w:w="1275" w:type="dxa"/>
            <w:shd w:val="clear" w:color="auto" w:fill="FFFFFF"/>
            <w:noWrap w:val="0"/>
            <w:vAlign w:val="top"/>
          </w:tcPr>
          <w:p w14:paraId="7F79890D">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76</w:t>
            </w:r>
          </w:p>
        </w:tc>
        <w:tc>
          <w:tcPr>
            <w:tcW w:w="1843" w:type="dxa"/>
            <w:shd w:val="clear" w:color="auto" w:fill="FFFFFF"/>
            <w:noWrap w:val="0"/>
            <w:vAlign w:val="top"/>
          </w:tcPr>
          <w:p w14:paraId="5495E8AA">
            <w:pPr>
              <w:autoSpaceDE w:val="0"/>
              <w:autoSpaceDN w:val="0"/>
              <w:adjustRightInd w:val="0"/>
              <w:spacing w:after="0" w:line="240" w:lineRule="auto"/>
              <w:ind w:right="60"/>
              <w:jc w:val="center"/>
              <w:rPr>
                <w:rFonts w:ascii="Times New Roman" w:hAnsi="Times New Roman" w:cs="Times New Roman"/>
                <w:bCs/>
                <w:sz w:val="24"/>
                <w:szCs w:val="24"/>
              </w:rPr>
            </w:pPr>
            <w:r>
              <w:rPr>
                <w:rFonts w:ascii="Times New Roman" w:hAnsi="Times New Roman" w:cs="Times New Roman"/>
                <w:bCs/>
                <w:sz w:val="24"/>
                <w:szCs w:val="24"/>
              </w:rPr>
              <w:t>18.9%</w:t>
            </w:r>
          </w:p>
        </w:tc>
      </w:tr>
    </w:tbl>
    <w:p w14:paraId="651A1240">
      <w:pPr>
        <w:autoSpaceDE w:val="0"/>
        <w:autoSpaceDN w:val="0"/>
        <w:adjustRightInd w:val="0"/>
        <w:ind w:firstLine="4698" w:firstLineChars="1950"/>
        <w:rPr>
          <w:rFonts w:hint="default" w:asciiTheme="majorBidi" w:hAnsiTheme="majorBidi" w:cstheme="majorBidi"/>
          <w:b/>
          <w:bCs/>
          <w:sz w:val="24"/>
          <w:szCs w:val="24"/>
          <w:lang w:val="fr-FR"/>
        </w:rPr>
      </w:pPr>
      <w:r>
        <w:rPr>
          <w:rFonts w:hint="default" w:asciiTheme="majorBidi" w:hAnsiTheme="majorBidi" w:cstheme="majorBidi"/>
          <w:b/>
          <w:bCs/>
          <w:sz w:val="24"/>
          <w:szCs w:val="24"/>
          <w:lang w:val="fr-FR"/>
        </w:rPr>
        <w:t>Source:Élaboration personnelle</w:t>
      </w:r>
    </w:p>
    <w:p w14:paraId="2B53197A">
      <w:pPr>
        <w:autoSpaceDE w:val="0"/>
        <w:autoSpaceDN w:val="0"/>
        <w:adjustRightInd w:val="0"/>
        <w:ind w:firstLine="4698" w:firstLineChars="1950"/>
        <w:rPr>
          <w:rFonts w:hint="default" w:asciiTheme="majorBidi" w:hAnsiTheme="majorBidi" w:cstheme="majorBidi"/>
          <w:b/>
          <w:bCs/>
          <w:sz w:val="24"/>
          <w:szCs w:val="24"/>
          <w:lang w:val="fr-FR"/>
        </w:rPr>
      </w:pPr>
    </w:p>
    <w:p w14:paraId="38274499">
      <w:pPr>
        <w:pStyle w:val="14"/>
        <w:numPr>
          <w:ilvl w:val="0"/>
          <w:numId w:val="1"/>
        </w:numPr>
        <w:spacing w:after="0" w:line="240" w:lineRule="auto"/>
        <w:ind w:left="720" w:leftChars="0" w:hanging="360" w:firstLineChars="0"/>
        <w:jc w:val="both"/>
        <w:rPr>
          <w:rFonts w:ascii="Times New Roman" w:hAnsi="Times New Roman" w:cs="Times New Roman"/>
          <w:b/>
          <w:bCs/>
          <w:sz w:val="24"/>
          <w:szCs w:val="24"/>
        </w:rPr>
      </w:pPr>
      <w:r>
        <w:rPr>
          <w:rFonts w:ascii="Times New Roman" w:hAnsi="Times New Roman" w:cs="Times New Roman"/>
          <w:b/>
          <w:bCs/>
          <w:sz w:val="24"/>
          <w:szCs w:val="24"/>
        </w:rPr>
        <w:t>Analyse des données </w:t>
      </w:r>
    </w:p>
    <w:p w14:paraId="18E3D027">
      <w:pPr>
        <w:pStyle w:val="14"/>
        <w:spacing w:after="0" w:line="240" w:lineRule="auto"/>
        <w:jc w:val="both"/>
        <w:rPr>
          <w:rFonts w:ascii="Times New Roman" w:hAnsi="Times New Roman" w:cs="Times New Roman"/>
          <w:b/>
          <w:bCs/>
          <w:sz w:val="24"/>
          <w:szCs w:val="24"/>
        </w:rPr>
      </w:pPr>
    </w:p>
    <w:p w14:paraId="68175EB7">
      <w:pPr>
        <w:pStyle w:val="14"/>
        <w:numPr>
          <w:ilvl w:val="1"/>
          <w:numId w:val="1"/>
        </w:numPr>
        <w:spacing w:after="0" w:line="240" w:lineRule="auto"/>
        <w:ind w:left="1080" w:leftChars="0" w:hanging="720" w:firstLineChars="0"/>
        <w:jc w:val="both"/>
        <w:rPr>
          <w:rFonts w:ascii="Times New Roman" w:hAnsi="Times New Roman" w:cs="Times New Roman"/>
          <w:b/>
          <w:bCs/>
          <w:sz w:val="24"/>
          <w:szCs w:val="24"/>
        </w:rPr>
      </w:pPr>
      <w:r>
        <w:rPr>
          <w:rFonts w:ascii="Times New Roman" w:hAnsi="Times New Roman" w:cs="Times New Roman"/>
          <w:b/>
          <w:bCs/>
          <w:sz w:val="24"/>
          <w:szCs w:val="24"/>
        </w:rPr>
        <w:t>Analyse factorielle exploratoire </w:t>
      </w:r>
    </w:p>
    <w:p w14:paraId="1DA0051F">
      <w:pPr>
        <w:pStyle w:val="14"/>
        <w:numPr>
          <w:ilvl w:val="0"/>
          <w:numId w:val="0"/>
        </w:numPr>
        <w:spacing w:after="0" w:line="240" w:lineRule="auto"/>
        <w:ind w:left="360" w:leftChars="0"/>
        <w:jc w:val="both"/>
        <w:rPr>
          <w:rFonts w:ascii="Times New Roman" w:hAnsi="Times New Roman" w:cs="Times New Roman"/>
          <w:b/>
          <w:bCs/>
          <w:sz w:val="24"/>
          <w:szCs w:val="24"/>
        </w:rPr>
      </w:pPr>
    </w:p>
    <w:p w14:paraId="081967C4">
      <w:pPr>
        <w:pStyle w:val="14"/>
        <w:spacing w:after="0" w:line="240" w:lineRule="auto"/>
        <w:ind w:left="0"/>
        <w:jc w:val="both"/>
      </w:pPr>
      <w:r>
        <w:rPr>
          <w:rFonts w:ascii="Times New Roman" w:hAnsi="Times New Roman" w:cs="Times New Roman"/>
          <w:sz w:val="24"/>
          <w:szCs w:val="24"/>
        </w:rPr>
        <w:t>Une analyse factorielle exploratoire (AFE) a été réalisée à l’aide du logiciel SPSS 25 afin d’évaluer la validité des échelles de mesure. Les résultats indiquent que les indices de Kaiser-Meyer-Olkin (KMO) sont globalement satisfaisants et que le test de sphéricité de Bartlett est significatif, confirmant ainsi la factorisabilité des données. Les valeurs de KMO obtenues pour les différentes variables sont les suivantes : utilité perçue (0,708), facilité d’utilisation perçue (0,665), engagement (0,931), attitude (0,904), motivation (0,929) et intention (0,800). Par ailleurs, la fiabilité interne des échelles a été vérifiée à l’aide de l’alpha de Cronbach. Les résultats révèlent une bonne cohérence interne, avec des coefficients supérieurs au seuil minimal de 0,6 : utilité perçue (0,673), facilité d’utilisation perçue (0,705), engagement (0,949), attitude (0,860), motivation (0,922) et intention (0,772). Ces résultats confirment la robustesse et la fiabilité des instruments de mesure utilisés dans cette recherche</w:t>
      </w:r>
      <w:r>
        <w:t>.</w:t>
      </w:r>
    </w:p>
    <w:p w14:paraId="6FDAE08A">
      <w:pPr>
        <w:pStyle w:val="14"/>
        <w:spacing w:after="0" w:line="240" w:lineRule="auto"/>
        <w:ind w:left="0"/>
        <w:jc w:val="both"/>
      </w:pPr>
    </w:p>
    <w:p w14:paraId="5216C4C5">
      <w:pPr>
        <w:pStyle w:val="14"/>
        <w:numPr>
          <w:ilvl w:val="1"/>
          <w:numId w:val="1"/>
        </w:numPr>
        <w:spacing w:after="0" w:line="240" w:lineRule="auto"/>
        <w:ind w:left="1080" w:leftChars="0" w:hanging="720" w:firstLineChars="0"/>
        <w:jc w:val="both"/>
        <w:rPr>
          <w:rFonts w:ascii="Times New Roman" w:hAnsi="Times New Roman" w:cs="Times New Roman"/>
          <w:b/>
          <w:bCs/>
          <w:sz w:val="24"/>
          <w:szCs w:val="24"/>
        </w:rPr>
      </w:pPr>
      <w:r>
        <w:rPr>
          <w:rFonts w:ascii="Times New Roman" w:hAnsi="Times New Roman" w:cs="Times New Roman"/>
          <w:b/>
          <w:bCs/>
          <w:sz w:val="24"/>
          <w:szCs w:val="24"/>
        </w:rPr>
        <w:t>Analyse factorielle confirmatoire </w:t>
      </w:r>
    </w:p>
    <w:p w14:paraId="7D23CDF8">
      <w:pPr>
        <w:pStyle w:val="14"/>
        <w:spacing w:after="0" w:line="240" w:lineRule="auto"/>
        <w:ind w:left="765"/>
        <w:jc w:val="both"/>
        <w:rPr>
          <w:rFonts w:ascii="Times New Roman" w:hAnsi="Times New Roman" w:cs="Times New Roman"/>
          <w:b/>
          <w:bCs/>
          <w:sz w:val="24"/>
          <w:szCs w:val="24"/>
        </w:rPr>
      </w:pPr>
    </w:p>
    <w:p w14:paraId="55584398">
      <w:pPr>
        <w:pStyle w:val="14"/>
        <w:numPr>
          <w:ilvl w:val="0"/>
          <w:numId w:val="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Pour confirmer la structure factorielle identifiée lors de l’analyse factorielle exploratoire (AFE), une analyse factorielle confirmatoire (AFC) a été réalisée à l’aide du logiciel AMOS 26. La fiabilité et la validité convergente des construits ont été évaluées respectivement à travers le coefficient Rhô de Jöreskog et la Variance Moyenne Extraite (AVE). Les résultats indiquent que toutes les valeurs du Rhô de Jöreskog sont supérieures ou égales à 0,7, attestant d’une fiabilité élevée : utilité perçue (0,813), facilité d’utilisation perçue (0,837), engagement (0,846), attitude (0,792), motivation (0,863) et intention (0,792). Par ailleurs, toutes les valeurs de l’AVE dépassent le seuil recommandé de 0,5, confirmant la validité convergente des construits : utilité perçue (0,798), facilité d’utilisation perçue (0,812), engagement (0,825), attitude (0,754), motivation (0,792) et intention (0,754). La validité discriminante a été examinée selon la méthode de Fornell et Larcker (1981), et les résultats montrent que les racines carrées des AVE sont supérieures aux corrélations inter-constructs, validant ainsi la distinction entre les variables (voir Tableau 2)</w:t>
      </w:r>
    </w:p>
    <w:p w14:paraId="6506B756">
      <w:pPr>
        <w:pStyle w:val="14"/>
        <w:numPr>
          <w:ilvl w:val="0"/>
          <w:numId w:val="0"/>
        </w:numPr>
        <w:spacing w:after="0" w:line="240" w:lineRule="auto"/>
        <w:jc w:val="both"/>
        <w:rPr>
          <w:rFonts w:ascii="Times New Roman" w:hAnsi="Times New Roman" w:cs="Times New Roman"/>
          <w:sz w:val="24"/>
          <w:szCs w:val="24"/>
        </w:rPr>
      </w:pPr>
    </w:p>
    <w:p w14:paraId="44498CB5">
      <w:pPr>
        <w:spacing w:after="20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Tableau </w:t>
      </w:r>
      <w:r>
        <w:rPr>
          <w:rFonts w:asciiTheme="majorBidi" w:hAnsiTheme="majorBidi" w:cstheme="majorBidi"/>
          <w:b/>
          <w:sz w:val="24"/>
          <w:szCs w:val="24"/>
        </w:rPr>
        <w:t>N°</w:t>
      </w:r>
      <w:r>
        <w:rPr>
          <w:rFonts w:hint="default" w:asciiTheme="majorBidi" w:hAnsiTheme="majorBidi" w:cstheme="majorBidi"/>
          <w:b/>
          <w:sz w:val="24"/>
          <w:szCs w:val="24"/>
          <w:lang w:val="fr-FR"/>
        </w:rPr>
        <w:t>2</w:t>
      </w:r>
      <w:r>
        <w:rPr>
          <w:rFonts w:ascii="Times New Roman" w:hAnsi="Times New Roman" w:cs="Times New Roman"/>
          <w:b/>
          <w:bCs/>
          <w:sz w:val="24"/>
          <w:szCs w:val="24"/>
        </w:rPr>
        <w:t xml:space="preserve"> : Le test de la validité discriminante</w:t>
      </w:r>
    </w:p>
    <w:tbl>
      <w:tblPr>
        <w:tblStyle w:val="11"/>
        <w:tblW w:w="9923" w:type="dxa"/>
        <w:tblInd w:w="-148" w:type="dxa"/>
        <w:tblLayout w:type="fixed"/>
        <w:tblCellMar>
          <w:top w:w="0" w:type="dxa"/>
          <w:left w:w="10" w:type="dxa"/>
          <w:bottom w:w="0" w:type="dxa"/>
          <w:right w:w="10" w:type="dxa"/>
        </w:tblCellMar>
      </w:tblPr>
      <w:tblGrid>
        <w:gridCol w:w="1560"/>
        <w:gridCol w:w="1134"/>
        <w:gridCol w:w="1559"/>
        <w:gridCol w:w="1134"/>
        <w:gridCol w:w="1559"/>
        <w:gridCol w:w="1418"/>
        <w:gridCol w:w="1559"/>
      </w:tblGrid>
      <w:tr w14:paraId="0692408B">
        <w:tblPrEx>
          <w:tblCellMar>
            <w:top w:w="0" w:type="dxa"/>
            <w:left w:w="10" w:type="dxa"/>
            <w:bottom w:w="0" w:type="dxa"/>
            <w:right w:w="10" w:type="dxa"/>
          </w:tblCellMar>
        </w:tblPrEx>
        <w:trPr>
          <w:trHeight w:val="690"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E3D831A">
            <w:pPr>
              <w:spacing w:after="0" w:line="240" w:lineRule="auto"/>
              <w:contextualSpacing/>
              <w:jc w:val="both"/>
              <w:rPr>
                <w:rFonts w:ascii="Times New Roman" w:hAnsi="Times New Roman" w:cs="Times New Roman"/>
                <w:sz w:val="24"/>
                <w:szCs w:val="24"/>
                <w:lang w:eastAsia="fr-FR"/>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C79B75E">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Utilité perçue</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45B8DF5">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Facilité d'utilisation perçue</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F893C9A">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Attitude</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8A380A7">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Intention d'utilisation</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7DB4073">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Motivation</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82CA412">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Engagement</w:t>
            </w:r>
          </w:p>
        </w:tc>
      </w:tr>
      <w:tr w14:paraId="4530BC93">
        <w:tblPrEx>
          <w:tblCellMar>
            <w:top w:w="0" w:type="dxa"/>
            <w:left w:w="10" w:type="dxa"/>
            <w:bottom w:w="0" w:type="dxa"/>
            <w:right w:w="10" w:type="dxa"/>
          </w:tblCellMar>
        </w:tblPrEx>
        <w:trPr>
          <w:trHeight w:val="697"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49BBBB0">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Utilité perçue</w:t>
            </w:r>
          </w:p>
        </w:tc>
        <w:tc>
          <w:tcPr>
            <w:tcW w:w="1134"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054EDEE8">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0,893</w:t>
            </w:r>
          </w:p>
          <w:p w14:paraId="27DD0A9D">
            <w:pPr>
              <w:spacing w:after="0" w:line="240" w:lineRule="auto"/>
              <w:contextualSpacing/>
              <w:jc w:val="both"/>
              <w:rPr>
                <w:rFonts w:ascii="Times New Roman" w:hAnsi="Times New Roman" w:eastAsia="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659832D">
            <w:pPr>
              <w:spacing w:after="0" w:line="240" w:lineRule="auto"/>
              <w:contextualSpacing/>
              <w:jc w:val="both"/>
              <w:rPr>
                <w:rFonts w:ascii="Times New Roman" w:hAnsi="Times New Roman" w:cs="Times New Roman"/>
                <w:sz w:val="24"/>
                <w:szCs w:val="24"/>
                <w:lang w:eastAsia="fr-FR"/>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F926AFC">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3A21251">
            <w:pPr>
              <w:spacing w:after="0" w:line="240" w:lineRule="auto"/>
              <w:contextualSpacing/>
              <w:jc w:val="both"/>
              <w:rPr>
                <w:rFonts w:ascii="Times New Roman" w:hAnsi="Times New Roman" w:cs="Times New Roman"/>
                <w:sz w:val="24"/>
                <w:szCs w:val="24"/>
                <w:lang w:eastAsia="fr-FR"/>
              </w:rPr>
            </w:pP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E00A026">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9DCCD05">
            <w:pPr>
              <w:spacing w:after="0" w:line="240" w:lineRule="auto"/>
              <w:contextualSpacing/>
              <w:jc w:val="both"/>
              <w:rPr>
                <w:rFonts w:ascii="Times New Roman" w:hAnsi="Times New Roman" w:cs="Times New Roman"/>
                <w:sz w:val="24"/>
                <w:szCs w:val="24"/>
                <w:lang w:eastAsia="fr-FR"/>
              </w:rPr>
            </w:pPr>
          </w:p>
        </w:tc>
      </w:tr>
      <w:tr w14:paraId="75C594CB">
        <w:tblPrEx>
          <w:tblCellMar>
            <w:top w:w="0" w:type="dxa"/>
            <w:left w:w="10" w:type="dxa"/>
            <w:bottom w:w="0" w:type="dxa"/>
            <w:right w:w="10" w:type="dxa"/>
          </w:tblCellMar>
        </w:tblPrEx>
        <w:trPr>
          <w:trHeight w:val="1093"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A3D47ED">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Facilité d'utilisation perçue</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48DD972">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0. 155</w:t>
            </w:r>
          </w:p>
        </w:tc>
        <w:tc>
          <w:tcPr>
            <w:tcW w:w="1559"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6C2BD940">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0,901</w:t>
            </w:r>
          </w:p>
          <w:p w14:paraId="16553E53">
            <w:pPr>
              <w:spacing w:after="0" w:line="240" w:lineRule="auto"/>
              <w:contextualSpacing/>
              <w:jc w:val="both"/>
              <w:rPr>
                <w:rFonts w:ascii="Times New Roman" w:hAnsi="Times New Roman" w:eastAsia="Times New Roman" w:cs="Times New Roman"/>
                <w:sz w:val="24"/>
                <w:szCs w:val="24"/>
                <w:lang w:eastAsia="fr-FR"/>
              </w:rPr>
            </w:pPr>
          </w:p>
          <w:p w14:paraId="569F4442">
            <w:pPr>
              <w:spacing w:after="0" w:line="240" w:lineRule="auto"/>
              <w:contextualSpacing/>
              <w:jc w:val="both"/>
              <w:rPr>
                <w:rFonts w:ascii="Times New Roman" w:hAnsi="Times New Roman" w:eastAsia="Times New Roman" w:cs="Times New Roman"/>
                <w:sz w:val="24"/>
                <w:szCs w:val="24"/>
                <w:lang w:eastAsia="fr-FR"/>
              </w:rPr>
            </w:pP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98DA39B">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7140F81">
            <w:pPr>
              <w:spacing w:after="0" w:line="240" w:lineRule="auto"/>
              <w:contextualSpacing/>
              <w:jc w:val="both"/>
              <w:rPr>
                <w:rFonts w:ascii="Times New Roman" w:hAnsi="Times New Roman" w:cs="Times New Roman"/>
                <w:sz w:val="24"/>
                <w:szCs w:val="24"/>
                <w:lang w:eastAsia="fr-FR"/>
              </w:rPr>
            </w:pP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84E515C">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B88393E">
            <w:pPr>
              <w:spacing w:after="0" w:line="240" w:lineRule="auto"/>
              <w:contextualSpacing/>
              <w:jc w:val="both"/>
              <w:rPr>
                <w:rFonts w:ascii="Times New Roman" w:hAnsi="Times New Roman" w:cs="Times New Roman"/>
                <w:sz w:val="24"/>
                <w:szCs w:val="24"/>
                <w:lang w:eastAsia="fr-FR"/>
              </w:rPr>
            </w:pPr>
          </w:p>
        </w:tc>
      </w:tr>
      <w:tr w14:paraId="11295865">
        <w:tblPrEx>
          <w:tblCellMar>
            <w:top w:w="0" w:type="dxa"/>
            <w:left w:w="10" w:type="dxa"/>
            <w:bottom w:w="0" w:type="dxa"/>
            <w:right w:w="10" w:type="dxa"/>
          </w:tblCellMar>
        </w:tblPrEx>
        <w:trPr>
          <w:trHeight w:val="713"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8BEEB54">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Attitude</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5DA696A">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0.077</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E98C63F">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0.175</w:t>
            </w:r>
          </w:p>
        </w:tc>
        <w:tc>
          <w:tcPr>
            <w:tcW w:w="1134"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136994D7">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0,868</w:t>
            </w:r>
          </w:p>
          <w:p w14:paraId="481184E3">
            <w:pPr>
              <w:spacing w:after="0" w:line="240" w:lineRule="auto"/>
              <w:contextualSpacing/>
              <w:jc w:val="both"/>
              <w:rPr>
                <w:rFonts w:ascii="Times New Roman" w:hAnsi="Times New Roman" w:eastAsia="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4D2F0C3">
            <w:pPr>
              <w:spacing w:after="0" w:line="240" w:lineRule="auto"/>
              <w:contextualSpacing/>
              <w:jc w:val="both"/>
              <w:rPr>
                <w:rFonts w:ascii="Times New Roman" w:hAnsi="Times New Roman" w:cs="Times New Roman"/>
                <w:sz w:val="24"/>
                <w:szCs w:val="24"/>
                <w:lang w:eastAsia="fr-FR"/>
              </w:rPr>
            </w:pP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64CD06F">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8CC32CB">
            <w:pPr>
              <w:spacing w:after="0" w:line="240" w:lineRule="auto"/>
              <w:contextualSpacing/>
              <w:jc w:val="both"/>
              <w:rPr>
                <w:rFonts w:ascii="Times New Roman" w:hAnsi="Times New Roman" w:cs="Times New Roman"/>
                <w:sz w:val="24"/>
                <w:szCs w:val="24"/>
                <w:lang w:eastAsia="fr-FR"/>
              </w:rPr>
            </w:pPr>
          </w:p>
        </w:tc>
      </w:tr>
      <w:tr w14:paraId="00A19FAA">
        <w:tblPrEx>
          <w:tblCellMar>
            <w:top w:w="0" w:type="dxa"/>
            <w:left w:w="10" w:type="dxa"/>
            <w:bottom w:w="0" w:type="dxa"/>
            <w:right w:w="10" w:type="dxa"/>
          </w:tblCellMar>
        </w:tblPrEx>
        <w:trPr>
          <w:trHeight w:val="212"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3AAC362">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Intention d'utilisation</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7694394">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0.294</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731E23C">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0.249</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6D67C6A">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0.349</w:t>
            </w:r>
          </w:p>
        </w:tc>
        <w:tc>
          <w:tcPr>
            <w:tcW w:w="1559"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4136FFBF">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0,874</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C6DD99F">
            <w:pPr>
              <w:spacing w:after="0" w:line="240" w:lineRule="auto"/>
              <w:contextualSpacing/>
              <w:jc w:val="both"/>
              <w:rPr>
                <w:rFonts w:ascii="Times New Roman" w:hAnsi="Times New Roman" w:cs="Times New Roman"/>
                <w:sz w:val="24"/>
                <w:szCs w:val="24"/>
                <w:lang w:eastAsia="fr-FR"/>
              </w:rPr>
            </w:pP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3436D25">
            <w:pPr>
              <w:spacing w:after="0" w:line="240" w:lineRule="auto"/>
              <w:contextualSpacing/>
              <w:jc w:val="both"/>
              <w:rPr>
                <w:rFonts w:ascii="Times New Roman" w:hAnsi="Times New Roman" w:cs="Times New Roman"/>
                <w:sz w:val="24"/>
                <w:szCs w:val="24"/>
                <w:lang w:eastAsia="fr-FR"/>
              </w:rPr>
            </w:pPr>
          </w:p>
        </w:tc>
      </w:tr>
      <w:tr w14:paraId="0B79C44E">
        <w:tblPrEx>
          <w:tblCellMar>
            <w:top w:w="0" w:type="dxa"/>
            <w:left w:w="10" w:type="dxa"/>
            <w:bottom w:w="0" w:type="dxa"/>
            <w:right w:w="10" w:type="dxa"/>
          </w:tblCellMar>
        </w:tblPrEx>
        <w:trPr>
          <w:trHeight w:val="423"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C3FDB04">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Motivation</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450C4A8">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0.104</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CC90B70">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0.162</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95C36F8">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0.171</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AE40D06">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0.277</w:t>
            </w:r>
          </w:p>
        </w:tc>
        <w:tc>
          <w:tcPr>
            <w:tcW w:w="1418"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034A4DA3">
            <w:pPr>
              <w:spacing w:after="0" w:line="240" w:lineRule="auto"/>
              <w:contextualSpacing/>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0,889</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0B0084E">
            <w:pPr>
              <w:spacing w:after="0" w:line="240" w:lineRule="auto"/>
              <w:contextualSpacing/>
              <w:jc w:val="both"/>
              <w:rPr>
                <w:rFonts w:ascii="Times New Roman" w:hAnsi="Times New Roman" w:cs="Times New Roman"/>
                <w:sz w:val="24"/>
                <w:szCs w:val="24"/>
                <w:lang w:eastAsia="fr-FR"/>
              </w:rPr>
            </w:pPr>
          </w:p>
        </w:tc>
      </w:tr>
      <w:tr w14:paraId="3CFD37DD">
        <w:tblPrEx>
          <w:tblCellMar>
            <w:top w:w="0" w:type="dxa"/>
            <w:left w:w="10" w:type="dxa"/>
            <w:bottom w:w="0" w:type="dxa"/>
            <w:right w:w="10" w:type="dxa"/>
          </w:tblCellMar>
        </w:tblPrEx>
        <w:trPr>
          <w:trHeight w:val="423" w:hRule="atLeast"/>
        </w:trPr>
        <w:tc>
          <w:tcPr>
            <w:tcW w:w="1560"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06BB044">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Engagement</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4098E830">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0.317</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4429468">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0.239</w:t>
            </w:r>
          </w:p>
        </w:tc>
        <w:tc>
          <w:tcPr>
            <w:tcW w:w="113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483B69DF">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0.104</w:t>
            </w:r>
          </w:p>
        </w:tc>
        <w:tc>
          <w:tcPr>
            <w:tcW w:w="1559"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9119895">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0.434</w:t>
            </w:r>
          </w:p>
        </w:tc>
        <w:tc>
          <w:tcPr>
            <w:tcW w:w="1418"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59343CA">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0. 442</w:t>
            </w:r>
          </w:p>
        </w:tc>
        <w:tc>
          <w:tcPr>
            <w:tcW w:w="1559" w:type="dxa"/>
            <w:tcBorders>
              <w:top w:val="single" w:color="000000" w:sz="4" w:space="0"/>
              <w:left w:val="single" w:color="000000" w:sz="4" w:space="0"/>
              <w:bottom w:val="single" w:color="000000" w:sz="4" w:space="0"/>
              <w:right w:val="single" w:color="000000" w:sz="4" w:space="0"/>
            </w:tcBorders>
            <w:shd w:val="clear" w:color="000000" w:fill="F2F2F2"/>
            <w:noWrap w:val="0"/>
            <w:tcMar>
              <w:left w:w="108" w:type="dxa"/>
              <w:right w:w="108" w:type="dxa"/>
            </w:tcMar>
            <w:vAlign w:val="top"/>
          </w:tcPr>
          <w:p w14:paraId="46D20084">
            <w:pPr>
              <w:spacing w:after="0" w:line="240" w:lineRule="auto"/>
              <w:contextualSpacing/>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0,908</w:t>
            </w:r>
          </w:p>
        </w:tc>
      </w:tr>
    </w:tbl>
    <w:p w14:paraId="009FA44E">
      <w:pPr>
        <w:autoSpaceDE w:val="0"/>
        <w:autoSpaceDN w:val="0"/>
        <w:adjustRightInd w:val="0"/>
        <w:ind w:firstLine="4680" w:firstLineChars="1950"/>
        <w:jc w:val="right"/>
        <w:rPr>
          <w:rFonts w:hint="default" w:asciiTheme="majorBidi" w:hAnsiTheme="majorBidi" w:cstheme="majorBidi"/>
          <w:b w:val="0"/>
          <w:bCs w:val="0"/>
          <w:sz w:val="24"/>
          <w:szCs w:val="24"/>
          <w:lang w:val="fr-FR"/>
        </w:rPr>
      </w:pPr>
      <w:r>
        <w:rPr>
          <w:rFonts w:hint="default" w:ascii="Times New Roman" w:hAnsi="Times New Roman" w:cs="Times New Roman"/>
          <w:b w:val="0"/>
          <w:bCs w:val="0"/>
          <w:sz w:val="24"/>
          <w:szCs w:val="24"/>
          <w:lang w:val="fr-FR"/>
        </w:rPr>
        <w:t xml:space="preserve">                                                                                  </w:t>
      </w:r>
      <w:r>
        <w:rPr>
          <w:rFonts w:hint="default" w:ascii="Times New Roman" w:hAnsi="Times New Roman" w:cs="Times New Roman"/>
          <w:b w:val="0"/>
          <w:bCs w:val="0"/>
          <w:sz w:val="24"/>
          <w:szCs w:val="24"/>
          <w:lang w:val="fr-FR"/>
        </w:rPr>
        <w:tab/>
      </w:r>
      <w:r>
        <w:rPr>
          <w:rFonts w:hint="default" w:asciiTheme="majorBidi" w:hAnsiTheme="majorBidi" w:cstheme="majorBidi"/>
          <w:b/>
          <w:bCs/>
          <w:sz w:val="24"/>
          <w:szCs w:val="24"/>
          <w:lang w:val="fr-FR"/>
        </w:rPr>
        <w:t>Source</w:t>
      </w:r>
      <w:r>
        <w:rPr>
          <w:rFonts w:hint="default" w:asciiTheme="majorBidi" w:hAnsiTheme="majorBidi" w:cstheme="majorBidi"/>
          <w:b w:val="0"/>
          <w:bCs w:val="0"/>
          <w:sz w:val="24"/>
          <w:szCs w:val="24"/>
          <w:lang w:val="fr-FR"/>
        </w:rPr>
        <w:t xml:space="preserve"> :</w:t>
      </w:r>
      <w:r>
        <w:rPr>
          <w:rFonts w:hint="default" w:asciiTheme="majorBidi" w:hAnsiTheme="majorBidi" w:cstheme="majorBidi"/>
          <w:b/>
          <w:bCs/>
          <w:sz w:val="24"/>
          <w:szCs w:val="24"/>
          <w:lang w:val="fr-FR"/>
        </w:rPr>
        <w:t>Élaboration personnelle</w:t>
      </w:r>
      <w:r>
        <w:rPr>
          <w:rFonts w:hint="default" w:asciiTheme="majorBidi" w:hAnsiTheme="majorBidi" w:cstheme="majorBidi"/>
          <w:b w:val="0"/>
          <w:bCs w:val="0"/>
          <w:sz w:val="24"/>
          <w:szCs w:val="24"/>
          <w:lang w:val="fr-FR"/>
        </w:rPr>
        <w:t xml:space="preserve">                                                                                  </w:t>
      </w:r>
    </w:p>
    <w:p w14:paraId="1C434B51">
      <w:pPr>
        <w:pStyle w:val="8"/>
        <w:jc w:val="both"/>
      </w:pPr>
      <w:r>
        <w:t>Les hypothèses de recherche ont été testées à l’aide de la méthode des équations structurelles. Les indices globaux du modèle structurel indiquent une qualité d’ajustement satisfaisante aux données empiriques : CMIN/df = 2,136 (≤ 3), RMSEA = 0,053 (≤ 0,08), RMR = 0,071 (≤ 0,08), GFI = 0,852 (≥ 0,80), AGFI = 0,830 (≥ 0,80), TLI = 0,946 (≥ 0,90) et CFI = 0,950 (≥ 0,90). Ces valeurs confirment que le modèle structurel s’ajuste correctement aux observations.</w:t>
      </w:r>
    </w:p>
    <w:p w14:paraId="01871209">
      <w:pPr>
        <w:pStyle w:val="8"/>
        <w:jc w:val="both"/>
      </w:pPr>
      <w:r>
        <w:t>Pour évaluer les relations hypothétiques, le Critical Ratio (CR) a été utilisé, avec un seuil de signification fixé à CR &gt; 1,96 et p &lt; 0,05. Les résultats montrent que toutes les hypothèses formulées sont confirmées :</w:t>
      </w:r>
    </w:p>
    <w:p w14:paraId="73006B01">
      <w:pPr>
        <w:pStyle w:val="8"/>
        <w:numPr>
          <w:ilvl w:val="0"/>
          <w:numId w:val="2"/>
        </w:numPr>
        <w:jc w:val="both"/>
      </w:pPr>
      <w:r>
        <w:rPr>
          <w:rStyle w:val="5"/>
          <w:b w:val="0"/>
          <w:bCs w:val="0"/>
        </w:rPr>
        <w:t>H1 : Utilité perçue → Attitude</w:t>
      </w:r>
      <w:r>
        <w:t xml:space="preserve"> : effet positif et significatif (CR = 4,781 ; p &lt; 0,001)</w:t>
      </w:r>
    </w:p>
    <w:p w14:paraId="1B0E52A9">
      <w:pPr>
        <w:pStyle w:val="8"/>
        <w:numPr>
          <w:ilvl w:val="0"/>
          <w:numId w:val="2"/>
        </w:numPr>
        <w:jc w:val="both"/>
      </w:pPr>
      <w:r>
        <w:rPr>
          <w:rStyle w:val="5"/>
          <w:b w:val="0"/>
          <w:bCs w:val="0"/>
        </w:rPr>
        <w:t>H2 : Facilité d’utilisation perçue → Attitude</w:t>
      </w:r>
      <w:r>
        <w:t xml:space="preserve"> : effet positif et significatif (CR = 2,341 ; p &lt; 0,05)</w:t>
      </w:r>
    </w:p>
    <w:p w14:paraId="7B151AB3">
      <w:pPr>
        <w:pStyle w:val="8"/>
        <w:numPr>
          <w:ilvl w:val="0"/>
          <w:numId w:val="2"/>
        </w:numPr>
        <w:jc w:val="both"/>
      </w:pPr>
      <w:r>
        <w:rPr>
          <w:rStyle w:val="5"/>
          <w:b w:val="0"/>
          <w:bCs w:val="0"/>
        </w:rPr>
        <w:t>H3 : Engagement → Attitude</w:t>
      </w:r>
      <w:r>
        <w:t xml:space="preserve"> : effet positif et significatif (CR = 6,625 ; p &lt; 0,001)</w:t>
      </w:r>
    </w:p>
    <w:p w14:paraId="1F95EC33">
      <w:pPr>
        <w:pStyle w:val="8"/>
        <w:numPr>
          <w:ilvl w:val="0"/>
          <w:numId w:val="2"/>
        </w:numPr>
        <w:jc w:val="both"/>
      </w:pPr>
      <w:r>
        <w:rPr>
          <w:rStyle w:val="5"/>
          <w:b w:val="0"/>
          <w:bCs w:val="0"/>
        </w:rPr>
        <w:t>H4 : Attitude → Motivation</w:t>
      </w:r>
      <w:r>
        <w:t xml:space="preserve"> : effet positif et significatif (CR = 15,191 ; p &lt; 0,001)</w:t>
      </w:r>
    </w:p>
    <w:p w14:paraId="3432413B">
      <w:pPr>
        <w:pStyle w:val="8"/>
        <w:numPr>
          <w:ilvl w:val="0"/>
          <w:numId w:val="2"/>
        </w:numPr>
        <w:jc w:val="both"/>
      </w:pPr>
      <w:r>
        <w:rPr>
          <w:rStyle w:val="5"/>
          <w:b w:val="0"/>
          <w:bCs w:val="0"/>
        </w:rPr>
        <w:t>H5 : Motivation → Intention</w:t>
      </w:r>
      <w:r>
        <w:t xml:space="preserve"> : effet positif et significatif (CR = 14,675 ; p &lt; 0,001)</w:t>
      </w:r>
    </w:p>
    <w:p w14:paraId="5A877F9B">
      <w:pPr>
        <w:autoSpaceDE w:val="0"/>
        <w:autoSpaceDN w:val="0"/>
        <w:adjustRightInd w:val="0"/>
        <w:jc w:val="both"/>
      </w:pPr>
      <w:r>
        <w:t>Ces résultats indiquent que toutes les hypothèses (H1 à H5) sont soutenues empiriquement, confirmant les liens proposés dans le modèle conceptuel (voir Tableau 3).</w:t>
      </w:r>
    </w:p>
    <w:p w14:paraId="78BF944E">
      <w:pPr>
        <w:autoSpaceDE w:val="0"/>
        <w:autoSpaceDN w:val="0"/>
        <w:adjustRightInd w:val="0"/>
        <w:jc w:val="both"/>
        <w:rPr>
          <w:rFonts w:ascii="Times New Roman" w:hAnsi="Times New Roman" w:eastAsia="Times New Roman" w:cs="Times New Roman"/>
          <w:b/>
          <w:bCs/>
          <w:i w:val="0"/>
          <w:iCs w:val="0"/>
          <w:color w:val="auto"/>
          <w:sz w:val="24"/>
          <w:szCs w:val="24"/>
          <w:lang w:eastAsia="fr-FR"/>
        </w:rPr>
      </w:pPr>
      <w:r>
        <w:rPr>
          <w:rFonts w:ascii="Times New Roman" w:hAnsi="Times New Roman" w:cs="Times New Roman"/>
          <w:b/>
          <w:bCs/>
          <w:i w:val="0"/>
          <w:iCs w:val="0"/>
          <w:color w:val="auto"/>
          <w:sz w:val="24"/>
          <w:szCs w:val="24"/>
          <w:lang w:val="en-US"/>
        </w:rPr>
        <w:t xml:space="preserve">Tableau </w:t>
      </w:r>
      <w:r>
        <w:rPr>
          <w:rFonts w:asciiTheme="majorBidi" w:hAnsiTheme="majorBidi" w:cstheme="majorBidi"/>
          <w:b/>
          <w:sz w:val="24"/>
          <w:szCs w:val="24"/>
        </w:rPr>
        <w:t>N°</w:t>
      </w:r>
      <w:r>
        <w:rPr>
          <w:rFonts w:hint="default" w:asciiTheme="majorBidi" w:hAnsiTheme="majorBidi" w:cstheme="majorBidi"/>
          <w:b/>
          <w:sz w:val="24"/>
          <w:szCs w:val="24"/>
          <w:lang w:val="fr-FR"/>
        </w:rPr>
        <w:t>3</w:t>
      </w:r>
      <w:r>
        <w:rPr>
          <w:rFonts w:ascii="Times New Roman" w:hAnsi="Times New Roman" w:cs="Times New Roman"/>
          <w:b/>
          <w:bCs/>
          <w:i w:val="0"/>
          <w:iCs w:val="0"/>
          <w:color w:val="auto"/>
          <w:sz w:val="24"/>
          <w:szCs w:val="24"/>
          <w:lang w:val="en-US"/>
        </w:rPr>
        <w:t xml:space="preserve">: </w:t>
      </w:r>
      <w:r>
        <w:rPr>
          <w:rFonts w:ascii="Times New Roman" w:hAnsi="Times New Roman" w:eastAsia="Times New Roman" w:cs="Times New Roman"/>
          <w:b/>
          <w:bCs/>
          <w:i w:val="0"/>
          <w:iCs w:val="0"/>
          <w:color w:val="auto"/>
          <w:sz w:val="24"/>
          <w:szCs w:val="24"/>
          <w:lang w:eastAsia="fr-FR"/>
        </w:rPr>
        <w:t>Résultats des relations structurelles</w:t>
      </w:r>
    </w:p>
    <w:tbl>
      <w:tblPr>
        <w:tblStyle w:val="11"/>
        <w:tblW w:w="0" w:type="auto"/>
        <w:jc w:val="center"/>
        <w:tblLayout w:type="autofit"/>
        <w:tblCellMar>
          <w:top w:w="0" w:type="dxa"/>
          <w:left w:w="10" w:type="dxa"/>
          <w:bottom w:w="0" w:type="dxa"/>
          <w:right w:w="10" w:type="dxa"/>
        </w:tblCellMar>
      </w:tblPr>
      <w:tblGrid>
        <w:gridCol w:w="5123"/>
        <w:gridCol w:w="1123"/>
        <w:gridCol w:w="695"/>
        <w:gridCol w:w="876"/>
        <w:gridCol w:w="665"/>
      </w:tblGrid>
      <w:tr w14:paraId="69A1D1B4">
        <w:trPr>
          <w:trHeight w:val="1" w:hRule="atLeast"/>
          <w:jc w:val="center"/>
        </w:trPr>
        <w:tc>
          <w:tcPr>
            <w:tcW w:w="5123" w:type="dxa"/>
            <w:tcBorders>
              <w:top w:val="single" w:color="000000" w:sz="0" w:space="0"/>
              <w:left w:val="single" w:color="000000" w:sz="0" w:space="0"/>
              <w:bottom w:val="single" w:color="000000" w:sz="4" w:space="0"/>
              <w:right w:val="single" w:color="000000" w:sz="4" w:space="0"/>
            </w:tcBorders>
            <w:shd w:val="clear" w:color="000000" w:fill="FFFFFF"/>
            <w:noWrap w:val="0"/>
            <w:tcMar>
              <w:left w:w="108" w:type="dxa"/>
              <w:right w:w="108" w:type="dxa"/>
            </w:tcMar>
            <w:vAlign w:val="top"/>
          </w:tcPr>
          <w:p w14:paraId="2F0F95B6">
            <w:pPr>
              <w:spacing w:after="0" w:line="360" w:lineRule="auto"/>
              <w:jc w:val="center"/>
              <w:rPr>
                <w:rFonts w:ascii="Times New Roman" w:hAnsi="Times New Roman" w:cs="Times New Roman"/>
                <w:b/>
                <w:bCs/>
                <w:sz w:val="24"/>
                <w:szCs w:val="24"/>
                <w:lang w:eastAsia="fr-FR"/>
              </w:rPr>
            </w:pPr>
            <w:r>
              <w:rPr>
                <w:rFonts w:ascii="Times New Roman" w:hAnsi="Times New Roman" w:cs="Times New Roman"/>
                <w:b/>
                <w:bCs/>
                <w:sz w:val="24"/>
                <w:szCs w:val="24"/>
                <w:lang w:eastAsia="fr-FR"/>
              </w:rPr>
              <w:t>Les variables</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51F3A78">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Estimate</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083E0EA">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S.E.</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60EE98A7">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C.R.</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2DCF5E0">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P</w:t>
            </w:r>
          </w:p>
        </w:tc>
      </w:tr>
      <w:tr w14:paraId="35D8D3C3">
        <w:tblPrEx>
          <w:tblCellMar>
            <w:top w:w="0" w:type="dxa"/>
            <w:left w:w="10" w:type="dxa"/>
            <w:bottom w:w="0" w:type="dxa"/>
            <w:right w:w="10" w:type="dxa"/>
          </w:tblCellMar>
        </w:tblPrEx>
        <w:trPr>
          <w:trHeight w:val="1" w:hRule="atLeast"/>
          <w:jc w:val="center"/>
        </w:trPr>
        <w:tc>
          <w:tcPr>
            <w:tcW w:w="51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688A6D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Attitude &lt;---</w:t>
            </w:r>
            <w:r>
              <w:rPr>
                <w:rFonts w:ascii="Times New Roman" w:hAnsi="Times New Roman" w:eastAsia="Times New Roman" w:cs="Times New Roman"/>
                <w:sz w:val="24"/>
                <w:szCs w:val="24"/>
                <w:lang w:eastAsia="fr-FR"/>
              </w:rPr>
              <w:tab/>
            </w:r>
            <w:r>
              <w:rPr>
                <w:rFonts w:ascii="Times New Roman" w:hAnsi="Times New Roman" w:eastAsia="Times New Roman" w:cs="Times New Roman"/>
                <w:sz w:val="24"/>
                <w:szCs w:val="24"/>
                <w:lang w:eastAsia="fr-FR"/>
              </w:rPr>
              <w:t>Utilité Perçue</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AA4980D">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,464</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04937AE">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,097</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5B22595E">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4,781</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7949BC9B">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w:t>
            </w:r>
          </w:p>
        </w:tc>
      </w:tr>
      <w:tr w14:paraId="16F5CF49">
        <w:tblPrEx>
          <w:tblCellMar>
            <w:top w:w="0" w:type="dxa"/>
            <w:left w:w="10" w:type="dxa"/>
            <w:bottom w:w="0" w:type="dxa"/>
            <w:right w:w="10" w:type="dxa"/>
          </w:tblCellMar>
        </w:tblPrEx>
        <w:trPr>
          <w:trHeight w:val="1" w:hRule="atLeast"/>
          <w:jc w:val="center"/>
        </w:trPr>
        <w:tc>
          <w:tcPr>
            <w:tcW w:w="51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35DE920D">
            <w:pPr>
              <w:tabs>
                <w:tab w:val="left" w:pos="381"/>
              </w:tabs>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Attitude &lt;---  Facilité d’Utilisation Perçue</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0AD5BF67">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,253</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98214F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,108</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89BF914">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2,341</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AF127A3">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,019</w:t>
            </w:r>
          </w:p>
        </w:tc>
      </w:tr>
      <w:tr w14:paraId="2E13365E">
        <w:tblPrEx>
          <w:tblCellMar>
            <w:top w:w="0" w:type="dxa"/>
            <w:left w:w="10" w:type="dxa"/>
            <w:bottom w:w="0" w:type="dxa"/>
            <w:right w:w="10" w:type="dxa"/>
          </w:tblCellMar>
        </w:tblPrEx>
        <w:trPr>
          <w:trHeight w:val="1" w:hRule="atLeast"/>
          <w:jc w:val="center"/>
        </w:trPr>
        <w:tc>
          <w:tcPr>
            <w:tcW w:w="51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63394B3">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Attitude &lt;--- Engagement      </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1AE3B157">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,261</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20E9A05">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,039</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FFFEB51">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6,625</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15516979">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w:t>
            </w:r>
          </w:p>
        </w:tc>
      </w:tr>
      <w:tr w14:paraId="1ECD6B7B">
        <w:tblPrEx>
          <w:tblCellMar>
            <w:top w:w="0" w:type="dxa"/>
            <w:left w:w="10" w:type="dxa"/>
            <w:bottom w:w="0" w:type="dxa"/>
            <w:right w:w="10" w:type="dxa"/>
          </w:tblCellMar>
        </w:tblPrEx>
        <w:trPr>
          <w:trHeight w:val="1" w:hRule="atLeast"/>
          <w:jc w:val="center"/>
        </w:trPr>
        <w:tc>
          <w:tcPr>
            <w:tcW w:w="51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316EF101">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Motivation &lt;---  Attitude</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2A93E27">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,822</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B152BC7">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,054</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8B84801">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15,191</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2B9708BA">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w:t>
            </w:r>
          </w:p>
        </w:tc>
      </w:tr>
      <w:tr w14:paraId="3A5F8DF5">
        <w:tblPrEx>
          <w:tblCellMar>
            <w:top w:w="0" w:type="dxa"/>
            <w:left w:w="10" w:type="dxa"/>
            <w:bottom w:w="0" w:type="dxa"/>
            <w:right w:w="10" w:type="dxa"/>
          </w:tblCellMar>
        </w:tblPrEx>
        <w:trPr>
          <w:trHeight w:val="1" w:hRule="atLeast"/>
          <w:jc w:val="center"/>
        </w:trPr>
        <w:tc>
          <w:tcPr>
            <w:tcW w:w="5123"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3148E0E">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Intention &lt;--- Motivation       </w:t>
            </w:r>
          </w:p>
        </w:tc>
        <w:tc>
          <w:tcPr>
            <w:tcW w:w="107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568DFF29">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1,112</w:t>
            </w:r>
          </w:p>
        </w:tc>
        <w:tc>
          <w:tcPr>
            <w:tcW w:w="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04354E48">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,076</w:t>
            </w:r>
          </w:p>
        </w:tc>
        <w:tc>
          <w:tcPr>
            <w:tcW w:w="87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14:paraId="73607DE1">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14,675</w:t>
            </w:r>
          </w:p>
        </w:tc>
        <w:tc>
          <w:tcPr>
            <w:tcW w:w="66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14:paraId="26E09031">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w:t>
            </w:r>
          </w:p>
        </w:tc>
      </w:tr>
    </w:tbl>
    <w:p w14:paraId="0E53DE0F">
      <w:pPr>
        <w:autoSpaceDE w:val="0"/>
        <w:autoSpaceDN w:val="0"/>
        <w:adjustRightInd w:val="0"/>
        <w:rPr>
          <w:rFonts w:hint="default" w:ascii="Times New Roman" w:hAnsi="Times New Roman" w:eastAsia="Times New Roman" w:cs="Times New Roman"/>
          <w:b/>
          <w:bCs/>
          <w:i w:val="0"/>
          <w:iCs w:val="0"/>
          <w:color w:val="auto"/>
          <w:sz w:val="24"/>
          <w:szCs w:val="24"/>
          <w:lang w:val="en-US" w:eastAsia="fr-FR"/>
        </w:rPr>
      </w:pPr>
      <w:r>
        <w:rPr>
          <w:rFonts w:hint="default" w:ascii="Times New Roman" w:hAnsi="Times New Roman" w:eastAsia="Times New Roman" w:cs="Times New Roman"/>
          <w:b/>
          <w:bCs/>
          <w:i w:val="0"/>
          <w:iCs w:val="0"/>
          <w:color w:val="auto"/>
          <w:sz w:val="24"/>
          <w:szCs w:val="24"/>
          <w:lang w:val="en-US" w:eastAsia="fr-FR"/>
        </w:rPr>
        <w:t xml:space="preserve">             </w:t>
      </w:r>
    </w:p>
    <w:p w14:paraId="147D4EA5">
      <w:pPr>
        <w:autoSpaceDE w:val="0"/>
        <w:autoSpaceDN w:val="0"/>
        <w:adjustRightInd w:val="0"/>
        <w:rPr>
          <w:rFonts w:hint="default" w:asciiTheme="majorBidi" w:hAnsiTheme="majorBidi" w:cstheme="majorBidi"/>
          <w:b w:val="0"/>
          <w:bCs w:val="0"/>
          <w:sz w:val="24"/>
          <w:szCs w:val="24"/>
          <w:lang w:val="fr-FR"/>
        </w:rPr>
      </w:pPr>
      <w:r>
        <w:rPr>
          <w:rFonts w:hint="default" w:ascii="Times New Roman" w:hAnsi="Times New Roman" w:eastAsia="Times New Roman" w:cs="Times New Roman"/>
          <w:b/>
          <w:bCs/>
          <w:i w:val="0"/>
          <w:iCs w:val="0"/>
          <w:color w:val="auto"/>
          <w:sz w:val="24"/>
          <w:szCs w:val="24"/>
          <w:lang w:val="en-US" w:eastAsia="fr-FR"/>
        </w:rPr>
        <w:t xml:space="preserve">                                                                                </w:t>
      </w:r>
      <w:r>
        <w:rPr>
          <w:rFonts w:hint="default" w:asciiTheme="majorBidi" w:hAnsiTheme="majorBidi" w:cstheme="majorBidi"/>
          <w:b/>
          <w:bCs/>
          <w:sz w:val="24"/>
          <w:szCs w:val="24"/>
          <w:lang w:val="fr-FR"/>
        </w:rPr>
        <w:t>Source: Élaboration personnelle</w:t>
      </w:r>
    </w:p>
    <w:p w14:paraId="7031B5E0">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Pour examiner les effets médiateurs de l’attitude et de la motivation, nous avons appliqué le test de Sobel. Les résultats montrent que l’attitude joue un rôle central en médiatisant partiellement l’effet de l’utilité perçue (t = 4,560 ; p &lt; 0,001), de la facilité d’utilisation perçue (t = 2,310 ; p &lt; 0,001) et de l’engagement (t = 6,120 ; p &lt; 0,001) sur la motivation des étudiants. Autrement dit, la perception de l’utilité et de la facilité d’utilisation des soft skills, ainsi que l’engagement des étudiants, influencent d’abord leur attitude, qui à son tour stimule leur motivation à apprendre. Par ailleurs, la motivation agit comme médiateur partiel entre l’attitude et l’intention d’apprentissage (t = 10,540 ; p &lt; 0,001), indiquant que l’attitude influence la motivation, laquelle conditionne ensuite l’intention des étudiants d’adopter cette nouvelle technologie de formation. Ces résultats confirment que l’attitude et la motivation sont des variables clés pour comprendre l’acceptation des soft skills, soulignant leur rôle déterminant dans le processus de formation des intentions et des comportements des étudiants.</w:t>
      </w:r>
    </w:p>
    <w:p w14:paraId="52BC2AB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Tableau </w:t>
      </w:r>
      <w:r>
        <w:rPr>
          <w:rFonts w:asciiTheme="majorBidi" w:hAnsiTheme="majorBidi" w:cstheme="majorBidi"/>
          <w:b/>
          <w:sz w:val="24"/>
          <w:szCs w:val="24"/>
        </w:rPr>
        <w:t>N°</w:t>
      </w:r>
      <w:r>
        <w:rPr>
          <w:rFonts w:hint="default" w:asciiTheme="majorBidi" w:hAnsiTheme="majorBidi" w:cstheme="majorBidi"/>
          <w:b/>
          <w:sz w:val="24"/>
          <w:szCs w:val="24"/>
          <w:lang w:val="fr-FR"/>
        </w:rPr>
        <w:t>4</w:t>
      </w:r>
      <w:r>
        <w:rPr>
          <w:rFonts w:ascii="Times New Roman" w:hAnsi="Times New Roman" w:cs="Times New Roman"/>
          <w:b/>
          <w:bCs/>
          <w:sz w:val="24"/>
          <w:szCs w:val="24"/>
        </w:rPr>
        <w:t xml:space="preserve"> : Le test de la médiation</w:t>
      </w:r>
    </w:p>
    <w:tbl>
      <w:tblPr>
        <w:tblStyle w:val="11"/>
        <w:tblW w:w="10348"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85"/>
        <w:gridCol w:w="1418"/>
        <w:gridCol w:w="1842"/>
        <w:gridCol w:w="1701"/>
        <w:gridCol w:w="1312"/>
        <w:gridCol w:w="2090"/>
      </w:tblGrid>
      <w:tr w14:paraId="5EC4F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5" w:type="dxa"/>
            <w:noWrap w:val="0"/>
            <w:vAlign w:val="top"/>
          </w:tcPr>
          <w:p w14:paraId="51FD1B24">
            <w:pPr>
              <w:spacing w:after="200" w:line="240" w:lineRule="auto"/>
              <w:jc w:val="both"/>
              <w:rPr>
                <w:rFonts w:ascii="Times New Roman" w:hAnsi="Times New Roman" w:eastAsia="Times New Roman" w:cs="Times New Roman"/>
                <w:b/>
                <w:bCs/>
                <w:sz w:val="24"/>
                <w:szCs w:val="24"/>
                <w:lang w:eastAsia="fr-FR"/>
              </w:rPr>
            </w:pPr>
          </w:p>
        </w:tc>
        <w:tc>
          <w:tcPr>
            <w:tcW w:w="1418" w:type="dxa"/>
            <w:noWrap w:val="0"/>
            <w:vAlign w:val="top"/>
          </w:tcPr>
          <w:p w14:paraId="267D0E72">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Médiateur</w:t>
            </w:r>
          </w:p>
        </w:tc>
        <w:tc>
          <w:tcPr>
            <w:tcW w:w="1842" w:type="dxa"/>
            <w:noWrap w:val="0"/>
            <w:vAlign w:val="top"/>
          </w:tcPr>
          <w:p w14:paraId="78F45BCB">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Coefficients</w:t>
            </w:r>
          </w:p>
        </w:tc>
        <w:tc>
          <w:tcPr>
            <w:tcW w:w="1701" w:type="dxa"/>
            <w:noWrap w:val="0"/>
            <w:vAlign w:val="top"/>
          </w:tcPr>
          <w:p w14:paraId="30A47D44">
            <w:pPr>
              <w:spacing w:after="0" w:line="240" w:lineRule="auto"/>
              <w:jc w:val="center"/>
              <w:rPr>
                <w:rFonts w:ascii="Times New Roman" w:hAnsi="Times New Roman" w:eastAsia="Times New Roman" w:cs="Times New Roman"/>
                <w:b/>
                <w:bCs/>
                <w:color w:val="000000"/>
                <w:sz w:val="24"/>
                <w:szCs w:val="24"/>
                <w:lang w:eastAsia="fr-FR"/>
              </w:rPr>
            </w:pPr>
            <w:r>
              <w:rPr>
                <w:rFonts w:ascii="Times New Roman" w:hAnsi="Times New Roman" w:eastAsia="Times New Roman" w:cs="Times New Roman"/>
                <w:b/>
                <w:bCs/>
                <w:color w:val="000000"/>
                <w:sz w:val="24"/>
                <w:szCs w:val="24"/>
                <w:lang w:eastAsia="fr-FR"/>
              </w:rPr>
              <w:t>Test de Sobel</w:t>
            </w:r>
          </w:p>
          <w:p w14:paraId="680EE16F">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T (statistic)</w:t>
            </w:r>
          </w:p>
        </w:tc>
        <w:tc>
          <w:tcPr>
            <w:tcW w:w="1312" w:type="dxa"/>
            <w:noWrap w:val="0"/>
            <w:vAlign w:val="top"/>
          </w:tcPr>
          <w:p w14:paraId="472461D1">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p</w:t>
            </w:r>
          </w:p>
        </w:tc>
        <w:tc>
          <w:tcPr>
            <w:tcW w:w="2090" w:type="dxa"/>
            <w:noWrap w:val="0"/>
            <w:vAlign w:val="top"/>
          </w:tcPr>
          <w:p w14:paraId="681BB2D4">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Validation des hypothèses</w:t>
            </w:r>
          </w:p>
        </w:tc>
      </w:tr>
      <w:tr w14:paraId="63CD5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trPr>
        <w:tc>
          <w:tcPr>
            <w:tcW w:w="1985" w:type="dxa"/>
            <w:noWrap w:val="0"/>
            <w:vAlign w:val="top"/>
          </w:tcPr>
          <w:p w14:paraId="5DCD2960">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 xml:space="preserve">Utilité perçue </w:t>
            </w:r>
            <w:r>
              <w:rPr>
                <w:rFonts w:ascii="Times New Roman" w:hAnsi="Times New Roman" w:eastAsia="Times New Roman" w:cs="Times New Roman"/>
                <w:b/>
                <w:bCs/>
                <w:color w:val="000000"/>
                <w:sz w:val="24"/>
                <w:szCs w:val="24"/>
                <w:lang w:eastAsia="fr-FR"/>
              </w:rPr>
              <w:sym w:font="Wingdings" w:char="F0E0"/>
            </w:r>
            <w:r>
              <w:rPr>
                <w:rFonts w:ascii="Times New Roman" w:hAnsi="Times New Roman" w:eastAsia="Times New Roman" w:cs="Times New Roman"/>
                <w:b/>
                <w:bCs/>
                <w:color w:val="000000"/>
                <w:sz w:val="24"/>
                <w:szCs w:val="24"/>
                <w:lang w:eastAsia="fr-FR"/>
              </w:rPr>
              <w:t>motivation</w:t>
            </w:r>
          </w:p>
        </w:tc>
        <w:tc>
          <w:tcPr>
            <w:tcW w:w="1418" w:type="dxa"/>
            <w:noWrap w:val="0"/>
            <w:vAlign w:val="top"/>
          </w:tcPr>
          <w:p w14:paraId="2ECD5ECB">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Attitude</w:t>
            </w:r>
          </w:p>
        </w:tc>
        <w:tc>
          <w:tcPr>
            <w:tcW w:w="1842" w:type="dxa"/>
            <w:noWrap w:val="0"/>
            <w:vAlign w:val="top"/>
          </w:tcPr>
          <w:p w14:paraId="510E03C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A=0,464</w:t>
            </w:r>
          </w:p>
          <w:p w14:paraId="5C1A18DE">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A</w:t>
            </w:r>
            <w:r>
              <w:rPr>
                <w:rFonts w:ascii="Times New Roman" w:hAnsi="Times New Roman" w:eastAsia="Times New Roman" w:cs="Times New Roman"/>
                <w:sz w:val="24"/>
                <w:szCs w:val="24"/>
                <w:lang w:eastAsia="fr-FR"/>
              </w:rPr>
              <w:t>=0. 097 B=0. 822</w:t>
            </w:r>
          </w:p>
          <w:p w14:paraId="3FCD392A">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B =0.</w:t>
            </w:r>
            <w:r>
              <w:rPr>
                <w:rFonts w:ascii="Times New Roman" w:hAnsi="Times New Roman" w:eastAsia="Times New Roman" w:cs="Times New Roman"/>
                <w:sz w:val="24"/>
                <w:szCs w:val="24"/>
                <w:lang w:eastAsia="fr-FR"/>
              </w:rPr>
              <w:t>054</w:t>
            </w:r>
          </w:p>
        </w:tc>
        <w:tc>
          <w:tcPr>
            <w:tcW w:w="1701" w:type="dxa"/>
            <w:noWrap w:val="0"/>
            <w:vAlign w:val="top"/>
          </w:tcPr>
          <w:p w14:paraId="71DF0222">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4.560</w:t>
            </w:r>
            <w:r>
              <w:rPr>
                <w:rFonts w:ascii="Times New Roman" w:hAnsi="Times New Roman" w:eastAsia="Times New Roman" w:cs="Times New Roman"/>
                <w:sz w:val="24"/>
                <w:szCs w:val="24"/>
                <w:lang w:eastAsia="fr-FR"/>
              </w:rPr>
              <w:t>&gt;1.96</w:t>
            </w:r>
          </w:p>
        </w:tc>
        <w:tc>
          <w:tcPr>
            <w:tcW w:w="1312" w:type="dxa"/>
            <w:noWrap w:val="0"/>
            <w:vAlign w:val="top"/>
          </w:tcPr>
          <w:p w14:paraId="2AB4F0DD">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0.000</w:t>
            </w:r>
            <w:r>
              <w:rPr>
                <w:rFonts w:ascii="Times New Roman" w:hAnsi="Times New Roman" w:eastAsia="Times New Roman" w:cs="Times New Roman"/>
                <w:sz w:val="24"/>
                <w:szCs w:val="24"/>
                <w:lang w:eastAsia="fr-FR"/>
              </w:rPr>
              <w:t>&lt;0.05</w:t>
            </w:r>
          </w:p>
        </w:tc>
        <w:tc>
          <w:tcPr>
            <w:tcW w:w="2090" w:type="dxa"/>
            <w:noWrap w:val="0"/>
            <w:vAlign w:val="top"/>
          </w:tcPr>
          <w:p w14:paraId="57FD2DFE">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L’attitude joue un rôle médiateur</w:t>
            </w:r>
          </w:p>
        </w:tc>
      </w:tr>
      <w:tr w14:paraId="41F2D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5" w:type="dxa"/>
            <w:noWrap w:val="0"/>
            <w:vAlign w:val="top"/>
          </w:tcPr>
          <w:p w14:paraId="0A72750F">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 xml:space="preserve">Facilité d’utilisation perçue </w:t>
            </w:r>
            <w:r>
              <w:rPr>
                <w:rFonts w:ascii="Times New Roman" w:hAnsi="Times New Roman" w:eastAsia="Times New Roman" w:cs="Times New Roman"/>
                <w:b/>
                <w:bCs/>
                <w:color w:val="000000"/>
                <w:sz w:val="24"/>
                <w:szCs w:val="24"/>
                <w:lang w:eastAsia="fr-FR"/>
              </w:rPr>
              <w:sym w:font="Wingdings" w:char="F0E0"/>
            </w:r>
            <w:r>
              <w:rPr>
                <w:rFonts w:ascii="Times New Roman" w:hAnsi="Times New Roman" w:eastAsia="Times New Roman" w:cs="Times New Roman"/>
                <w:b/>
                <w:bCs/>
                <w:color w:val="000000"/>
                <w:sz w:val="24"/>
                <w:szCs w:val="24"/>
                <w:lang w:eastAsia="fr-FR"/>
              </w:rPr>
              <w:t>motivation</w:t>
            </w:r>
          </w:p>
        </w:tc>
        <w:tc>
          <w:tcPr>
            <w:tcW w:w="1418" w:type="dxa"/>
            <w:noWrap w:val="0"/>
            <w:vAlign w:val="top"/>
          </w:tcPr>
          <w:p w14:paraId="6CAE7CB3">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Attitude </w:t>
            </w:r>
          </w:p>
        </w:tc>
        <w:tc>
          <w:tcPr>
            <w:tcW w:w="1842" w:type="dxa"/>
            <w:noWrap w:val="0"/>
            <w:vAlign w:val="top"/>
          </w:tcPr>
          <w:p w14:paraId="6D8553AA">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A=0,253</w:t>
            </w:r>
          </w:p>
          <w:p w14:paraId="34B25A7F">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A</w:t>
            </w:r>
            <w:r>
              <w:rPr>
                <w:rFonts w:ascii="Times New Roman" w:hAnsi="Times New Roman" w:eastAsia="Times New Roman" w:cs="Times New Roman"/>
                <w:sz w:val="24"/>
                <w:szCs w:val="24"/>
                <w:lang w:eastAsia="fr-FR"/>
              </w:rPr>
              <w:t>=0. 108 B=0. 822</w:t>
            </w:r>
          </w:p>
          <w:p w14:paraId="75D419C7">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B =0.</w:t>
            </w:r>
            <w:r>
              <w:rPr>
                <w:rFonts w:ascii="Times New Roman" w:hAnsi="Times New Roman" w:eastAsia="Times New Roman" w:cs="Times New Roman"/>
                <w:sz w:val="24"/>
                <w:szCs w:val="24"/>
                <w:lang w:eastAsia="fr-FR"/>
              </w:rPr>
              <w:t xml:space="preserve"> 054</w:t>
            </w:r>
          </w:p>
        </w:tc>
        <w:tc>
          <w:tcPr>
            <w:tcW w:w="1701" w:type="dxa"/>
            <w:noWrap w:val="0"/>
            <w:vAlign w:val="top"/>
          </w:tcPr>
          <w:p w14:paraId="538A6ED6">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2.31</w:t>
            </w:r>
            <w:r>
              <w:rPr>
                <w:rFonts w:ascii="Times New Roman" w:hAnsi="Times New Roman" w:eastAsia="Times New Roman" w:cs="Times New Roman"/>
                <w:sz w:val="24"/>
                <w:szCs w:val="24"/>
                <w:lang w:eastAsia="fr-FR"/>
              </w:rPr>
              <w:t>&gt;1.96</w:t>
            </w:r>
          </w:p>
        </w:tc>
        <w:tc>
          <w:tcPr>
            <w:tcW w:w="1312" w:type="dxa"/>
            <w:noWrap w:val="0"/>
            <w:vAlign w:val="top"/>
          </w:tcPr>
          <w:p w14:paraId="0B09C9A3">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0.001</w:t>
            </w:r>
            <w:r>
              <w:rPr>
                <w:rFonts w:ascii="Times New Roman" w:hAnsi="Times New Roman" w:eastAsia="Times New Roman" w:cs="Times New Roman"/>
                <w:sz w:val="24"/>
                <w:szCs w:val="24"/>
                <w:lang w:eastAsia="fr-FR"/>
              </w:rPr>
              <w:t>&lt;0.05</w:t>
            </w:r>
          </w:p>
        </w:tc>
        <w:tc>
          <w:tcPr>
            <w:tcW w:w="2090" w:type="dxa"/>
            <w:noWrap w:val="0"/>
            <w:vAlign w:val="top"/>
          </w:tcPr>
          <w:p w14:paraId="30479996">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L’attitude joue un rôle médiateur</w:t>
            </w:r>
          </w:p>
        </w:tc>
      </w:tr>
      <w:tr w14:paraId="5B70A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3" w:hRule="atLeast"/>
        </w:trPr>
        <w:tc>
          <w:tcPr>
            <w:tcW w:w="1985" w:type="dxa"/>
            <w:noWrap w:val="0"/>
            <w:vAlign w:val="top"/>
          </w:tcPr>
          <w:p w14:paraId="3F797530">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 xml:space="preserve">Engagement </w:t>
            </w:r>
            <w:r>
              <w:rPr>
                <w:rFonts w:ascii="Times New Roman" w:hAnsi="Times New Roman" w:eastAsia="Times New Roman" w:cs="Times New Roman"/>
                <w:b/>
                <w:bCs/>
                <w:color w:val="000000"/>
                <w:sz w:val="24"/>
                <w:szCs w:val="24"/>
                <w:lang w:eastAsia="fr-FR"/>
              </w:rPr>
              <w:sym w:font="Wingdings" w:char="F0E0"/>
            </w:r>
            <w:r>
              <w:rPr>
                <w:rFonts w:ascii="Times New Roman" w:hAnsi="Times New Roman" w:eastAsia="Times New Roman" w:cs="Times New Roman"/>
                <w:b/>
                <w:bCs/>
                <w:color w:val="000000"/>
                <w:sz w:val="24"/>
                <w:szCs w:val="24"/>
                <w:lang w:eastAsia="fr-FR"/>
              </w:rPr>
              <w:t>motivation</w:t>
            </w:r>
          </w:p>
        </w:tc>
        <w:tc>
          <w:tcPr>
            <w:tcW w:w="1418" w:type="dxa"/>
            <w:noWrap w:val="0"/>
            <w:vAlign w:val="top"/>
          </w:tcPr>
          <w:p w14:paraId="0C3E938B">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Attitude </w:t>
            </w:r>
          </w:p>
        </w:tc>
        <w:tc>
          <w:tcPr>
            <w:tcW w:w="1842" w:type="dxa"/>
            <w:noWrap w:val="0"/>
            <w:vAlign w:val="top"/>
          </w:tcPr>
          <w:p w14:paraId="63BA7457">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A=0,261</w:t>
            </w:r>
          </w:p>
          <w:p w14:paraId="3F9D3647">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A</w:t>
            </w:r>
            <w:r>
              <w:rPr>
                <w:rFonts w:ascii="Times New Roman" w:hAnsi="Times New Roman" w:eastAsia="Times New Roman" w:cs="Times New Roman"/>
                <w:sz w:val="24"/>
                <w:szCs w:val="24"/>
                <w:lang w:eastAsia="fr-FR"/>
              </w:rPr>
              <w:t>=0. 039 B=0. 822</w:t>
            </w:r>
          </w:p>
          <w:p w14:paraId="533E14A3">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B =0.</w:t>
            </w:r>
            <w:r>
              <w:rPr>
                <w:rFonts w:ascii="Times New Roman" w:hAnsi="Times New Roman" w:eastAsia="Times New Roman" w:cs="Times New Roman"/>
                <w:sz w:val="24"/>
                <w:szCs w:val="24"/>
                <w:lang w:eastAsia="fr-FR"/>
              </w:rPr>
              <w:t>054</w:t>
            </w:r>
          </w:p>
        </w:tc>
        <w:tc>
          <w:tcPr>
            <w:tcW w:w="1701" w:type="dxa"/>
            <w:noWrap w:val="0"/>
            <w:vAlign w:val="top"/>
          </w:tcPr>
          <w:p w14:paraId="31C8EA53">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6.12</w:t>
            </w:r>
            <w:r>
              <w:rPr>
                <w:rFonts w:ascii="Times New Roman" w:hAnsi="Times New Roman" w:eastAsia="Times New Roman" w:cs="Times New Roman"/>
                <w:sz w:val="24"/>
                <w:szCs w:val="24"/>
                <w:lang w:eastAsia="fr-FR"/>
              </w:rPr>
              <w:t>&gt;1.96</w:t>
            </w:r>
          </w:p>
        </w:tc>
        <w:tc>
          <w:tcPr>
            <w:tcW w:w="1312" w:type="dxa"/>
            <w:noWrap w:val="0"/>
            <w:vAlign w:val="top"/>
          </w:tcPr>
          <w:p w14:paraId="2E45FC9E">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0.000</w:t>
            </w:r>
            <w:r>
              <w:rPr>
                <w:rFonts w:ascii="Times New Roman" w:hAnsi="Times New Roman" w:eastAsia="Times New Roman" w:cs="Times New Roman"/>
                <w:sz w:val="24"/>
                <w:szCs w:val="24"/>
                <w:lang w:eastAsia="fr-FR"/>
              </w:rPr>
              <w:t>&lt;0.05</w:t>
            </w:r>
          </w:p>
        </w:tc>
        <w:tc>
          <w:tcPr>
            <w:tcW w:w="2090" w:type="dxa"/>
            <w:noWrap w:val="0"/>
            <w:vAlign w:val="top"/>
          </w:tcPr>
          <w:p w14:paraId="5F85D7B7">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L’attitude joue un rôle médiateur</w:t>
            </w:r>
          </w:p>
        </w:tc>
      </w:tr>
      <w:tr w14:paraId="3464D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85" w:type="dxa"/>
            <w:noWrap w:val="0"/>
            <w:vAlign w:val="top"/>
          </w:tcPr>
          <w:p w14:paraId="02C72050">
            <w:pPr>
              <w:spacing w:after="20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color w:val="000000"/>
                <w:sz w:val="24"/>
                <w:szCs w:val="24"/>
                <w:lang w:eastAsia="fr-FR"/>
              </w:rPr>
              <w:t xml:space="preserve">Attitude </w:t>
            </w:r>
            <w:r>
              <w:rPr>
                <w:rFonts w:ascii="Times New Roman" w:hAnsi="Times New Roman" w:eastAsia="Times New Roman" w:cs="Times New Roman"/>
                <w:b/>
                <w:bCs/>
                <w:color w:val="000000"/>
                <w:sz w:val="24"/>
                <w:szCs w:val="24"/>
                <w:lang w:eastAsia="fr-FR"/>
              </w:rPr>
              <w:sym w:font="Wingdings" w:char="F0E0"/>
            </w:r>
            <w:r>
              <w:rPr>
                <w:rFonts w:ascii="Times New Roman" w:hAnsi="Times New Roman" w:eastAsia="Times New Roman" w:cs="Times New Roman"/>
                <w:b/>
                <w:bCs/>
                <w:color w:val="000000"/>
                <w:sz w:val="24"/>
                <w:szCs w:val="24"/>
                <w:lang w:eastAsia="fr-FR"/>
              </w:rPr>
              <w:t xml:space="preserve">intention    </w:t>
            </w:r>
          </w:p>
        </w:tc>
        <w:tc>
          <w:tcPr>
            <w:tcW w:w="1418" w:type="dxa"/>
            <w:noWrap w:val="0"/>
            <w:vAlign w:val="top"/>
          </w:tcPr>
          <w:p w14:paraId="1B1128F5">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Motivation </w:t>
            </w:r>
          </w:p>
        </w:tc>
        <w:tc>
          <w:tcPr>
            <w:tcW w:w="1842" w:type="dxa"/>
            <w:noWrap w:val="0"/>
            <w:vAlign w:val="top"/>
          </w:tcPr>
          <w:p w14:paraId="7B125117">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A=0,822</w:t>
            </w:r>
          </w:p>
          <w:p w14:paraId="04448A77">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A</w:t>
            </w:r>
            <w:r>
              <w:rPr>
                <w:rFonts w:ascii="Times New Roman" w:hAnsi="Times New Roman" w:eastAsia="Times New Roman" w:cs="Times New Roman"/>
                <w:sz w:val="24"/>
                <w:szCs w:val="24"/>
                <w:lang w:eastAsia="fr-FR"/>
              </w:rPr>
              <w:t>=0.054</w:t>
            </w:r>
          </w:p>
          <w:p w14:paraId="1A061651">
            <w:pPr>
              <w:spacing w:after="0" w:line="24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B=1.112</w:t>
            </w:r>
          </w:p>
          <w:p w14:paraId="6C94B9F9">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w:t>
            </w:r>
            <w:r>
              <w:rPr>
                <w:rFonts w:ascii="Times New Roman" w:hAnsi="Times New Roman" w:eastAsia="Times New Roman" w:cs="Times New Roman"/>
                <w:sz w:val="24"/>
                <w:szCs w:val="24"/>
                <w:vertAlign w:val="subscript"/>
                <w:lang w:eastAsia="fr-FR"/>
              </w:rPr>
              <w:t>B =</w:t>
            </w:r>
            <w:r>
              <w:rPr>
                <w:rFonts w:ascii="Times New Roman" w:hAnsi="Times New Roman" w:eastAsia="Times New Roman" w:cs="Times New Roman"/>
                <w:sz w:val="24"/>
                <w:szCs w:val="24"/>
                <w:lang w:eastAsia="fr-FR"/>
              </w:rPr>
              <w:t>0.076</w:t>
            </w:r>
          </w:p>
        </w:tc>
        <w:tc>
          <w:tcPr>
            <w:tcW w:w="1701" w:type="dxa"/>
            <w:noWrap w:val="0"/>
            <w:vAlign w:val="top"/>
          </w:tcPr>
          <w:p w14:paraId="14C6458A">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10.54</w:t>
            </w:r>
            <w:r>
              <w:rPr>
                <w:rFonts w:ascii="Times New Roman" w:hAnsi="Times New Roman" w:eastAsia="Times New Roman" w:cs="Times New Roman"/>
                <w:sz w:val="24"/>
                <w:szCs w:val="24"/>
                <w:lang w:eastAsia="fr-FR"/>
              </w:rPr>
              <w:t>&gt;1.96</w:t>
            </w:r>
          </w:p>
        </w:tc>
        <w:tc>
          <w:tcPr>
            <w:tcW w:w="1312" w:type="dxa"/>
            <w:noWrap w:val="0"/>
            <w:vAlign w:val="top"/>
          </w:tcPr>
          <w:p w14:paraId="789300DD">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0.000</w:t>
            </w:r>
            <w:r>
              <w:rPr>
                <w:rFonts w:ascii="Times New Roman" w:hAnsi="Times New Roman" w:eastAsia="Times New Roman" w:cs="Times New Roman"/>
                <w:sz w:val="24"/>
                <w:szCs w:val="24"/>
                <w:lang w:eastAsia="fr-FR"/>
              </w:rPr>
              <w:t>&lt;0.05</w:t>
            </w:r>
          </w:p>
        </w:tc>
        <w:tc>
          <w:tcPr>
            <w:tcW w:w="2090" w:type="dxa"/>
            <w:noWrap w:val="0"/>
            <w:vAlign w:val="top"/>
          </w:tcPr>
          <w:p w14:paraId="747F750B">
            <w:pPr>
              <w:spacing w:after="20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color w:val="000000"/>
                <w:sz w:val="24"/>
                <w:szCs w:val="24"/>
                <w:lang w:eastAsia="fr-FR"/>
              </w:rPr>
              <w:t>La motivation joue un rôle médiateur</w:t>
            </w:r>
          </w:p>
        </w:tc>
      </w:tr>
    </w:tbl>
    <w:p w14:paraId="747E038A">
      <w:pPr>
        <w:autoSpaceDE w:val="0"/>
        <w:autoSpaceDN w:val="0"/>
        <w:adjustRightInd w:val="0"/>
        <w:rPr>
          <w:rFonts w:hint="default" w:ascii="Times New Roman" w:hAnsi="Times New Roman" w:cs="Times New Roman"/>
          <w:b/>
          <w:bCs/>
          <w:sz w:val="24"/>
          <w:szCs w:val="24"/>
          <w:lang w:val="fr-FR"/>
        </w:rPr>
      </w:pPr>
      <w:r>
        <w:rPr>
          <w:rFonts w:hint="default" w:ascii="Times New Roman" w:hAnsi="Times New Roman" w:cs="Times New Roman"/>
          <w:b/>
          <w:bCs/>
          <w:sz w:val="24"/>
          <w:szCs w:val="24"/>
          <w:lang w:val="fr-FR"/>
        </w:rPr>
        <w:t xml:space="preserve">      </w:t>
      </w:r>
    </w:p>
    <w:p w14:paraId="70D3C925">
      <w:pPr>
        <w:autoSpaceDE w:val="0"/>
        <w:autoSpaceDN w:val="0"/>
        <w:adjustRightInd w:val="0"/>
        <w:rPr>
          <w:rFonts w:hint="default" w:asciiTheme="majorBidi" w:hAnsiTheme="majorBidi" w:cstheme="majorBidi"/>
          <w:b w:val="0"/>
          <w:bCs w:val="0"/>
          <w:sz w:val="24"/>
          <w:szCs w:val="24"/>
          <w:lang w:val="fr-FR"/>
        </w:rPr>
      </w:pPr>
      <w:r>
        <w:rPr>
          <w:rFonts w:hint="default" w:ascii="Times New Roman" w:hAnsi="Times New Roman" w:cs="Times New Roman"/>
          <w:b/>
          <w:bCs/>
          <w:sz w:val="24"/>
          <w:szCs w:val="24"/>
          <w:lang w:val="fr-FR"/>
        </w:rPr>
        <w:t xml:space="preserve">                                                                                            </w:t>
      </w:r>
      <w:r>
        <w:rPr>
          <w:rFonts w:hint="default" w:ascii="Times New Roman" w:hAnsi="Times New Roman" w:eastAsia="Times New Roman" w:cs="Times New Roman"/>
          <w:b/>
          <w:bCs/>
          <w:i w:val="0"/>
          <w:iCs w:val="0"/>
          <w:color w:val="auto"/>
          <w:sz w:val="24"/>
          <w:szCs w:val="24"/>
          <w:lang w:val="en-US" w:eastAsia="fr-FR"/>
        </w:rPr>
        <w:t xml:space="preserve"> </w:t>
      </w:r>
      <w:r>
        <w:rPr>
          <w:rFonts w:hint="default" w:asciiTheme="majorBidi" w:hAnsiTheme="majorBidi" w:cstheme="majorBidi"/>
          <w:b/>
          <w:bCs/>
          <w:sz w:val="24"/>
          <w:szCs w:val="24"/>
          <w:lang w:val="fr-FR"/>
        </w:rPr>
        <w:t>Source: Élaboration personnelle</w:t>
      </w:r>
    </w:p>
    <w:p w14:paraId="62640AF2">
      <w:pPr>
        <w:pStyle w:val="14"/>
        <w:numPr>
          <w:ilvl w:val="0"/>
          <w:numId w:val="3"/>
        </w:numPr>
        <w:tabs>
          <w:tab w:val="left" w:pos="709"/>
        </w:tabs>
        <w:spacing w:after="0" w:line="240" w:lineRule="auto"/>
        <w:ind w:left="800" w:leftChars="0" w:firstLineChars="0"/>
        <w:jc w:val="both"/>
        <w:rPr>
          <w:rFonts w:ascii="Times New Roman" w:hAnsi="Times New Roman" w:eastAsia="Times New Roman" w:cs="Times New Roman"/>
          <w:b/>
          <w:bCs/>
          <w:sz w:val="24"/>
          <w:szCs w:val="24"/>
          <w:lang w:eastAsia="fr-FR"/>
        </w:rPr>
      </w:pPr>
      <w:r>
        <w:rPr>
          <w:rFonts w:hint="default" w:ascii="Times New Roman" w:hAnsi="Times New Roman" w:eastAsia="Times New Roman" w:cs="Times New Roman"/>
          <w:b/>
          <w:bCs/>
          <w:i w:val="0"/>
          <w:iCs w:val="0"/>
          <w:color w:val="auto"/>
          <w:sz w:val="24"/>
          <w:szCs w:val="24"/>
          <w:lang w:val="en-US" w:eastAsia="fr-FR"/>
        </w:rPr>
        <w:t xml:space="preserve"> </w:t>
      </w:r>
      <w:r>
        <w:rPr>
          <w:rFonts w:ascii="Times New Roman" w:hAnsi="Times New Roman" w:eastAsia="Times New Roman" w:cs="Times New Roman"/>
          <w:b/>
          <w:bCs/>
          <w:sz w:val="24"/>
          <w:szCs w:val="24"/>
          <w:lang w:eastAsia="fr-FR"/>
        </w:rPr>
        <w:t>Discussion des résultats, contributions, limites et voies futures de recherche </w:t>
      </w:r>
    </w:p>
    <w:p w14:paraId="0E6F60AE">
      <w:pPr>
        <w:pStyle w:val="14"/>
        <w:numPr>
          <w:ilvl w:val="1"/>
          <w:numId w:val="3"/>
        </w:numPr>
        <w:tabs>
          <w:tab w:val="left" w:pos="709"/>
        </w:tabs>
        <w:spacing w:after="0" w:line="240" w:lineRule="auto"/>
        <w:jc w:val="both"/>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Discussion des résultats</w:t>
      </w:r>
    </w:p>
    <w:p w14:paraId="3E84EE5E">
      <w:pPr>
        <w:pStyle w:val="14"/>
        <w:tabs>
          <w:tab w:val="left" w:pos="709"/>
        </w:tabs>
        <w:spacing w:after="0" w:line="240" w:lineRule="auto"/>
        <w:ind w:left="765"/>
        <w:jc w:val="both"/>
        <w:rPr>
          <w:rFonts w:ascii="Times New Roman" w:hAnsi="Times New Roman" w:eastAsia="Times New Roman" w:cs="Times New Roman"/>
          <w:b/>
          <w:bCs/>
          <w:sz w:val="24"/>
          <w:szCs w:val="24"/>
          <w:lang w:eastAsia="fr-FR"/>
        </w:rPr>
      </w:pPr>
    </w:p>
    <w:p w14:paraId="441D27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Les résultats de cette recherche indiquent que l’acceptation des innovations pédagogiques dans la formation est fortement influencée par cinq facteurs clés : l’utilité perçue, la facilité d’utilisation perçue, l’engagement, l’attitude et la motivation des étudiants. Ces variables jouent un rôle déterminant dans l’adoption des programmes de formation intégrant les soft skills, soulignant leur importance pour comprendre les mécanismes qui favorisent l’acceptation et l’utilisation de nouvelles approches éducatives.</w:t>
      </w:r>
    </w:p>
    <w:p w14:paraId="26A1D3AC">
      <w:pPr>
        <w:pStyle w:val="8"/>
        <w:jc w:val="both"/>
        <w:rPr>
          <w:color w:val="000000"/>
        </w:rPr>
      </w:pPr>
      <w:r>
        <w:rPr>
          <w:color w:val="000000"/>
        </w:rPr>
        <w:t xml:space="preserve">D’abord, une </w:t>
      </w:r>
      <w:r>
        <w:rPr>
          <w:rStyle w:val="5"/>
          <w:b w:val="0"/>
          <w:bCs w:val="0"/>
          <w:color w:val="000000"/>
        </w:rPr>
        <w:t>relation positive et significative entre l’utilité perçue et l’attitude</w:t>
      </w:r>
      <w:r>
        <w:rPr>
          <w:color w:val="000000"/>
        </w:rPr>
        <w:t xml:space="preserve"> a été mise en évidence. Autrement dit, plus les étudiants considèrent les soft-skills comme utiles, plus leur attitude envers ces apprentissages devient favorable. Ce résultat rejoint les conclusions de </w:t>
      </w:r>
      <w:r>
        <w:rPr>
          <w:rStyle w:val="5"/>
          <w:b w:val="0"/>
          <w:bCs w:val="0"/>
          <w:color w:val="000000"/>
        </w:rPr>
        <w:t>Kumar et al. (2021)</w:t>
      </w:r>
      <w:r>
        <w:rPr>
          <w:b/>
          <w:bCs/>
          <w:color w:val="000000"/>
        </w:rPr>
        <w:t>,</w:t>
      </w:r>
      <w:r>
        <w:rPr>
          <w:color w:val="000000"/>
        </w:rPr>
        <w:t xml:space="preserve"> qui ont également montré que la perception de l’utilité influence fortement l’attitude des apprenants. Ce constat met en évidence l’importance, pour les établissements d’enseignement, de mettre en avant </w:t>
      </w:r>
      <w:r>
        <w:rPr>
          <w:b w:val="0"/>
          <w:bCs w:val="0"/>
          <w:color w:val="000000"/>
        </w:rPr>
        <w:t>les</w:t>
      </w:r>
      <w:r>
        <w:rPr>
          <w:b/>
          <w:bCs/>
          <w:color w:val="000000"/>
        </w:rPr>
        <w:t xml:space="preserve"> </w:t>
      </w:r>
      <w:r>
        <w:rPr>
          <w:rStyle w:val="5"/>
          <w:b w:val="0"/>
          <w:bCs w:val="0"/>
          <w:color w:val="000000"/>
        </w:rPr>
        <w:t>bénéfices pratiques et professionnels</w:t>
      </w:r>
      <w:r>
        <w:rPr>
          <w:color w:val="000000"/>
        </w:rPr>
        <w:t xml:space="preserve"> des soft-skills afin de stimuler leur adoption.</w:t>
      </w:r>
    </w:p>
    <w:p w14:paraId="481BF6FC">
      <w:pPr>
        <w:pStyle w:val="8"/>
        <w:jc w:val="both"/>
        <w:rPr>
          <w:color w:val="000000"/>
        </w:rPr>
      </w:pPr>
      <w:r>
        <w:rPr>
          <w:color w:val="000000"/>
        </w:rPr>
        <w:t xml:space="preserve">Ensuite, la </w:t>
      </w:r>
      <w:r>
        <w:rPr>
          <w:rStyle w:val="5"/>
          <w:b w:val="0"/>
          <w:bCs w:val="0"/>
          <w:color w:val="000000"/>
        </w:rPr>
        <w:t>facilité d’utilisation perçue</w:t>
      </w:r>
      <w:r>
        <w:rPr>
          <w:color w:val="000000"/>
        </w:rPr>
        <w:t xml:space="preserve"> des outils pédagogiques a montré un effet positif sur l’attitude des étudiants. Ce résultat est cohérent avec les travaux de</w:t>
      </w:r>
      <w:r>
        <w:rPr>
          <w:b/>
          <w:bCs/>
          <w:color w:val="000000"/>
        </w:rPr>
        <w:t xml:space="preserve"> </w:t>
      </w:r>
      <w:r>
        <w:rPr>
          <w:rStyle w:val="5"/>
          <w:b w:val="0"/>
          <w:bCs w:val="0"/>
          <w:color w:val="000000"/>
        </w:rPr>
        <w:t>Kumar et al. (2008)</w:t>
      </w:r>
      <w:r>
        <w:rPr>
          <w:b/>
          <w:bCs/>
          <w:color w:val="000000"/>
        </w:rPr>
        <w:t>,</w:t>
      </w:r>
      <w:r>
        <w:rPr>
          <w:color w:val="000000"/>
        </w:rPr>
        <w:t xml:space="preserve"> </w:t>
      </w:r>
      <w:r>
        <w:rPr>
          <w:rStyle w:val="5"/>
          <w:b w:val="0"/>
          <w:bCs w:val="0"/>
          <w:color w:val="000000"/>
        </w:rPr>
        <w:t>Jang et al. (2021)</w:t>
      </w:r>
      <w:r>
        <w:rPr>
          <w:b/>
          <w:bCs/>
          <w:color w:val="000000"/>
        </w:rPr>
        <w:t xml:space="preserve"> </w:t>
      </w:r>
      <w:r>
        <w:rPr>
          <w:color w:val="000000"/>
        </w:rPr>
        <w:t>et</w:t>
      </w:r>
      <w:r>
        <w:rPr>
          <w:b/>
          <w:bCs/>
          <w:color w:val="000000"/>
        </w:rPr>
        <w:t xml:space="preserve"> </w:t>
      </w:r>
      <w:r>
        <w:rPr>
          <w:rStyle w:val="5"/>
          <w:b w:val="0"/>
          <w:bCs w:val="0"/>
          <w:color w:val="000000"/>
        </w:rPr>
        <w:t>Morrar et al. (2017)</w:t>
      </w:r>
      <w:r>
        <w:rPr>
          <w:color w:val="000000"/>
        </w:rPr>
        <w:t>, qui soulignent que des technologies perçues comme simples, intuitives et accessibles favorisent une attitude positive des utilisateurs. Ainsi, les concepteurs de dispositifs pédagogiques doivent veiller à offrir des</w:t>
      </w:r>
      <w:r>
        <w:rPr>
          <w:b/>
          <w:bCs/>
          <w:color w:val="000000"/>
        </w:rPr>
        <w:t xml:space="preserve"> </w:t>
      </w:r>
      <w:r>
        <w:rPr>
          <w:rStyle w:val="5"/>
          <w:b w:val="0"/>
          <w:bCs w:val="0"/>
          <w:color w:val="000000"/>
        </w:rPr>
        <w:t>interfaces ergonomiques et adaptées</w:t>
      </w:r>
      <w:r>
        <w:rPr>
          <w:color w:val="000000"/>
        </w:rPr>
        <w:t xml:space="preserve"> afin de maximiser l’engagement des étudiants.</w:t>
      </w:r>
    </w:p>
    <w:p w14:paraId="24D15016">
      <w:pPr>
        <w:pStyle w:val="8"/>
        <w:jc w:val="both"/>
        <w:rPr>
          <w:color w:val="000000"/>
        </w:rPr>
      </w:pPr>
      <w:r>
        <w:rPr>
          <w:color w:val="000000"/>
        </w:rPr>
        <w:t>Par ailleurs, l’</w:t>
      </w:r>
      <w:r>
        <w:rPr>
          <w:rStyle w:val="5"/>
          <w:b w:val="0"/>
          <w:bCs w:val="0"/>
          <w:color w:val="000000"/>
        </w:rPr>
        <w:t>engagement</w:t>
      </w:r>
      <w:r>
        <w:rPr>
          <w:b/>
          <w:bCs/>
          <w:color w:val="000000"/>
        </w:rPr>
        <w:t xml:space="preserve"> </w:t>
      </w:r>
      <w:r>
        <w:rPr>
          <w:color w:val="000000"/>
        </w:rPr>
        <w:t xml:space="preserve">s’est avéré avoir un impact significatif sur l’attitude envers l’apprentissage des compétences non techniques. Ce résultat corrobore les observations de </w:t>
      </w:r>
      <w:r>
        <w:rPr>
          <w:rStyle w:val="5"/>
          <w:b w:val="0"/>
          <w:bCs w:val="0"/>
          <w:color w:val="000000"/>
        </w:rPr>
        <w:t>Bodovski et Farkas (2007)</w:t>
      </w:r>
      <w:r>
        <w:rPr>
          <w:b/>
          <w:bCs/>
          <w:color w:val="000000"/>
        </w:rPr>
        <w:t>,</w:t>
      </w:r>
      <w:r>
        <w:rPr>
          <w:color w:val="000000"/>
        </w:rPr>
        <w:t xml:space="preserve"> qui ont montré que l’engagement des apprenants dans une matière améliore leur disposition à l’égard de celle-ci. Pour les institutions éducatives, cela implique qu’il est essentiel de </w:t>
      </w:r>
      <w:r>
        <w:rPr>
          <w:rStyle w:val="5"/>
          <w:b w:val="0"/>
          <w:bCs w:val="0"/>
          <w:color w:val="000000"/>
        </w:rPr>
        <w:t>favoriser des approches actives et interactives</w:t>
      </w:r>
      <w:r>
        <w:rPr>
          <w:color w:val="000000"/>
        </w:rPr>
        <w:t xml:space="preserve"> pour maintenir l’implication des étudiants dans l’apprentissage des soft-skills.</w:t>
      </w:r>
    </w:p>
    <w:p w14:paraId="4ACCAA8C">
      <w:pPr>
        <w:pStyle w:val="8"/>
        <w:jc w:val="both"/>
        <w:rPr>
          <w:color w:val="000000"/>
        </w:rPr>
      </w:pPr>
      <w:r>
        <w:rPr>
          <w:color w:val="000000"/>
        </w:rPr>
        <w:t xml:space="preserve">Enfin, une </w:t>
      </w:r>
      <w:r>
        <w:rPr>
          <w:rStyle w:val="5"/>
          <w:b w:val="0"/>
          <w:bCs w:val="0"/>
          <w:color w:val="000000"/>
        </w:rPr>
        <w:t>attitude positive</w:t>
      </w:r>
      <w:r>
        <w:rPr>
          <w:color w:val="000000"/>
        </w:rPr>
        <w:t xml:space="preserve"> influence directement et significativement la </w:t>
      </w:r>
      <w:r>
        <w:rPr>
          <w:rStyle w:val="5"/>
          <w:b w:val="0"/>
          <w:bCs w:val="0"/>
          <w:color w:val="000000"/>
        </w:rPr>
        <w:t>motivation</w:t>
      </w:r>
      <w:r>
        <w:rPr>
          <w:b/>
          <w:bCs/>
          <w:color w:val="000000"/>
        </w:rPr>
        <w:t xml:space="preserve"> </w:t>
      </w:r>
      <w:r>
        <w:rPr>
          <w:color w:val="000000"/>
        </w:rPr>
        <w:t xml:space="preserve">à apprendre les soft-skills. Ce résultat rejoint les conclusions de </w:t>
      </w:r>
      <w:r>
        <w:rPr>
          <w:rStyle w:val="5"/>
          <w:b w:val="0"/>
          <w:bCs w:val="0"/>
          <w:color w:val="000000"/>
        </w:rPr>
        <w:t>Abu Bakara et al. (2010)</w:t>
      </w:r>
      <w:r>
        <w:rPr>
          <w:color w:val="000000"/>
        </w:rPr>
        <w:t>, qui ont mis en évidence un lien fort entre attitude et motivation. Ces résultats confirment que le renforcement d’une perception favorable constitue un levier déterminant pour stimuler la motivation des étudiants dans le cadre de l’adoption de nouvelles approches pédagogiques.</w:t>
      </w:r>
    </w:p>
    <w:p w14:paraId="1F50B1D8">
      <w:pPr>
        <w:pStyle w:val="8"/>
        <w:jc w:val="both"/>
        <w:rPr>
          <w:b/>
          <w:bCs/>
        </w:rPr>
      </w:pPr>
      <w:r>
        <w:rPr>
          <w:b/>
          <w:bCs/>
          <w:color w:val="000000"/>
        </w:rPr>
        <w:t>5.2. Contributions</w:t>
      </w:r>
      <w:r>
        <w:rPr>
          <w:b/>
          <w:bCs/>
        </w:rPr>
        <w:t xml:space="preserve"> théoriques et managériales</w:t>
      </w:r>
    </w:p>
    <w:p w14:paraId="36F4D7E4">
      <w:pPr>
        <w:pStyle w:val="8"/>
        <w:rPr>
          <w:b/>
          <w:bCs/>
          <w:color w:val="000000"/>
        </w:rPr>
      </w:pPr>
      <w:r>
        <w:rPr>
          <w:color w:val="000000"/>
        </w:rPr>
        <w:t xml:space="preserve">Les contributions de cette recherche se déclinent sur deux volets complémentaires : </w:t>
      </w:r>
      <w:r>
        <w:rPr>
          <w:rStyle w:val="5"/>
          <w:b w:val="0"/>
          <w:bCs w:val="0"/>
          <w:color w:val="000000"/>
        </w:rPr>
        <w:t>théorique</w:t>
      </w:r>
      <w:r>
        <w:rPr>
          <w:b/>
          <w:bCs/>
          <w:color w:val="000000"/>
        </w:rPr>
        <w:t xml:space="preserve"> </w:t>
      </w:r>
      <w:r>
        <w:rPr>
          <w:color w:val="000000"/>
        </w:rPr>
        <w:t>et</w:t>
      </w:r>
      <w:r>
        <w:rPr>
          <w:b/>
          <w:bCs/>
          <w:color w:val="000000"/>
        </w:rPr>
        <w:t xml:space="preserve"> </w:t>
      </w:r>
      <w:r>
        <w:rPr>
          <w:rStyle w:val="5"/>
          <w:b w:val="0"/>
          <w:bCs w:val="0"/>
          <w:color w:val="000000"/>
        </w:rPr>
        <w:t>managérial</w:t>
      </w:r>
      <w:r>
        <w:rPr>
          <w:b/>
          <w:bCs/>
          <w:color w:val="000000"/>
        </w:rPr>
        <w:t>.</w:t>
      </w:r>
    </w:p>
    <w:p w14:paraId="513C2D50">
      <w:pPr>
        <w:pStyle w:val="2"/>
        <w:rPr>
          <w:rFonts w:ascii="Times New Roman" w:hAnsi="Times New Roman" w:cs="Times New Roman"/>
          <w:color w:val="000000"/>
          <w:sz w:val="24"/>
          <w:szCs w:val="24"/>
        </w:rPr>
      </w:pPr>
      <w:r>
        <w:rPr>
          <w:rFonts w:ascii="Times New Roman" w:hAnsi="Times New Roman" w:cs="Times New Roman"/>
          <w:color w:val="000000"/>
          <w:sz w:val="24"/>
          <w:szCs w:val="24"/>
        </w:rPr>
        <w:t>5.2.1 Apports théoriques</w:t>
      </w:r>
    </w:p>
    <w:p w14:paraId="53D2F055">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Sur le plan théorique, cette étude enrichit la littérature en étendant le modèle TAM (Technology Acceptance Model) au contexte de l’apprentissage des soft skills, considérées comme une véritable technologie éducative. Elle propose un modèle conceptuel intégrateur analysant comment l’attitude des étudiants influence leur motivation et leur intention d’apprentissage, tout en examinant le rôle médiateur de l’attitude et de la motivation dans ces relations, offrant ainsi une compréhension approfondie des mécanismes psychologiques et comportementaux qui déterminent l’adoption des nouvelles pratiques pédagogiques dans l’enseignement supérieur.</w:t>
      </w:r>
    </w:p>
    <w:p w14:paraId="0C9E928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Dans le contexte post-pandémique, où les méthodes traditionnelles ne suffisent plus à développer efficacement les soft skills, de nombreuses institutions ont adopté des approches pédagogiques innovantes. L’utilisation de jeux sérieux (serious games) a montré des améliorations significatives dans des compétences telles que la gestion du stress et le travail en équipe, tout en renforçant la confiance des étudiants en leurs capacités (López-Serrano et</w:t>
      </w:r>
      <w:r>
        <w:rPr>
          <w:rFonts w:ascii="Times New Roman" w:hAnsi="Times New Roman" w:eastAsia="Times New Roman" w:cs="Times New Roman"/>
          <w:b/>
          <w:bCs/>
          <w:sz w:val="24"/>
          <w:szCs w:val="24"/>
          <w:lang w:eastAsia="fr-FR"/>
        </w:rPr>
        <w:t xml:space="preserve"> </w:t>
      </w:r>
      <w:r>
        <w:rPr>
          <w:rFonts w:ascii="Times New Roman" w:hAnsi="Times New Roman" w:eastAsia="Times New Roman" w:cs="Times New Roman"/>
          <w:sz w:val="24"/>
          <w:szCs w:val="24"/>
          <w:lang w:eastAsia="fr-FR"/>
        </w:rPr>
        <w:t>al., 2022). De même, le micro-apprentissage, reposant sur des plateformes numériques et des interactions en ligne, offre un développement flexible et accessible des compétences transversales (Romanenko et al., 2023).</w:t>
      </w:r>
    </w:p>
    <w:p w14:paraId="2713397E">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Dans cette recherche, plusieurs innovations pédagogiques ont été mises en œuvre auprès d’étudiants de l’enseignement supérieur tunisien, combinant des méthodes traditionnelles et pédagogies actives pour renforcer les compétences interpersonnelles, cognitives et organisationnelles. Ces dispositifs incluent des ateliers interactifs, jeux de rôle, activités collaboratives, classes inversées et transformation des espaces d’apprentissage en</w:t>
      </w:r>
      <w:r>
        <w:rPr>
          <w:rFonts w:ascii="Times New Roman" w:hAnsi="Times New Roman" w:eastAsia="Times New Roman" w:cs="Times New Roman"/>
          <w:b/>
          <w:bCs/>
          <w:sz w:val="24"/>
          <w:szCs w:val="24"/>
          <w:lang w:eastAsia="fr-FR"/>
        </w:rPr>
        <w:t xml:space="preserve"> </w:t>
      </w:r>
      <w:r>
        <w:rPr>
          <w:rFonts w:ascii="Times New Roman" w:hAnsi="Times New Roman" w:eastAsia="Times New Roman" w:cs="Times New Roman"/>
          <w:sz w:val="24"/>
          <w:szCs w:val="24"/>
          <w:lang w:eastAsia="fr-FR"/>
        </w:rPr>
        <w:t>environnements collaboratifs, conçus pour rendre l’apprentissage à la fois utile (perceived usefulness) et facile à utiliser (perceived ease of use), conformément au TAM.</w:t>
      </w:r>
    </w:p>
    <w:p w14:paraId="0A6DE450">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Les résultats montrent cependant que certaines innovations, bien que jugées utiles, peuvent être difficiles à utiliser, ce qui risque d’accentuer la fracture numérique et les inégalités sociales, particulièrement pour les étudiants issus de communautés marginalisées disposant de ressources limitées, d’infrastructures TIC insuffisantes et d’une connectivité Internet faible (Herckis &amp; Leiser, 2022; Moonasamy, 2022). L’appropriation des innovations dépend ainsi du niveau de compétence numérique, du degré d’accompagnement pédagogique et du contexte socioéconomique, soulignant que l’utilité perçue ne garantit pas la facilité d’usage. Ces observations mettent en évidence la nécessité d’intégrer dans le TAM des variables contextuelles et cognitives pour expliquer les écarts entre valeur perçue et mise en pratique effective.</w:t>
      </w:r>
    </w:p>
    <w:p w14:paraId="1E11FB07">
      <w:pPr>
        <w:spacing w:before="100" w:beforeAutospacing="1" w:after="100" w:afterAutospacing="1" w:line="240" w:lineRule="auto"/>
        <w:jc w:val="both"/>
        <w:rPr>
          <w:rFonts w:ascii="Times New Roman" w:hAnsi="Times New Roman" w:cs="Times New Roman"/>
          <w:color w:val="000000"/>
          <w:sz w:val="24"/>
          <w:szCs w:val="24"/>
        </w:rPr>
      </w:pPr>
      <w:r>
        <w:rPr>
          <w:rFonts w:ascii="Times New Roman" w:hAnsi="Times New Roman" w:eastAsia="Times New Roman" w:cs="Times New Roman"/>
          <w:sz w:val="24"/>
          <w:szCs w:val="24"/>
          <w:lang w:eastAsia="fr-FR"/>
        </w:rPr>
        <w:t>En combinant l’extension théorique du TAM avec la mise en œuvre concrète de ces innovations pédagogiques, cette étude apporte un contribution originale en montrant comment des approches pédagogiques actives et technologiquement adaptées peuvent être acceptées et intégrées efficacement pour le développement des soft skills dans l’enseignement supérieur.</w:t>
      </w:r>
    </w:p>
    <w:p w14:paraId="1D0B0F04">
      <w:pPr>
        <w:pStyle w:val="2"/>
        <w:rPr>
          <w:rFonts w:ascii="Times New Roman" w:hAnsi="Times New Roman" w:cs="Times New Roman"/>
          <w:color w:val="000000"/>
          <w:sz w:val="24"/>
          <w:szCs w:val="24"/>
        </w:rPr>
      </w:pPr>
      <w:r>
        <w:rPr>
          <w:rFonts w:ascii="Times New Roman" w:hAnsi="Times New Roman" w:cs="Times New Roman"/>
          <w:color w:val="000000"/>
          <w:sz w:val="24"/>
          <w:szCs w:val="24"/>
        </w:rPr>
        <w:t>5.2.2. Apports managériaux</w:t>
      </w:r>
    </w:p>
    <w:p w14:paraId="785F7074">
      <w:pPr>
        <w:tabs>
          <w:tab w:val="left" w:pos="382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Sur le plan managérial, les résultats de cette étude offrent des enseignements pratiques pour les établissements éducatifs, les enseignants et les concepteurs de solutions pédagogiques. Ils montrent que l’utilité perçue, la facilité d’utilisation et l’engagement constituent des leviers essentiels pour favoriser une attitude positive des étudiants et stimuler leur motivation à apprendre les soft skills. Les universités et les enseignants sont ainsi encouragés à rendre l’apprentissage des soft skills plus utile, intuitif et engageant, afin de renforcer l’attitude favorable des étudiants et leur intention d’adoption. À cette fin, les enseignants peuvent recourir à des approches pédagogiques innovantes visant à rendre l’apprentissage plus interactif et plaisant, notamment par l’intégration de techniques telles que la gamification, le mind mapping et l’apprentissage collaboratif. Pour les institutions, ces résultats constituent également une opportunité stratégique d’accroître l’attractivité et l’efficacité de leurs programmes en intégrant les soft skills comme composante essentielle de la formation académique et professionnelle.</w:t>
      </w:r>
    </w:p>
    <w:p w14:paraId="428666BB">
      <w:pPr>
        <w:tabs>
          <w:tab w:val="left" w:pos="3828"/>
        </w:tabs>
        <w:spacing w:after="0" w:line="240" w:lineRule="auto"/>
        <w:jc w:val="both"/>
        <w:rPr>
          <w:rFonts w:ascii="Times New Roman" w:hAnsi="Times New Roman" w:cs="Times New Roman"/>
          <w:sz w:val="24"/>
          <w:szCs w:val="24"/>
        </w:rPr>
      </w:pPr>
    </w:p>
    <w:p w14:paraId="5B9F53EC">
      <w:pPr>
        <w:tabs>
          <w:tab w:val="left" w:pos="3828"/>
        </w:tabs>
        <w:spacing w:after="0" w:line="240" w:lineRule="auto"/>
        <w:jc w:val="both"/>
        <w:rPr>
          <w:rFonts w:ascii="Times New Roman" w:hAnsi="Times New Roman" w:cs="Times New Roman"/>
          <w:sz w:val="24"/>
          <w:szCs w:val="24"/>
        </w:rPr>
      </w:pPr>
    </w:p>
    <w:p w14:paraId="111E3BA7">
      <w:pPr>
        <w:tabs>
          <w:tab w:val="left" w:pos="3828"/>
        </w:tabs>
        <w:spacing w:after="0" w:line="240" w:lineRule="auto"/>
        <w:jc w:val="both"/>
        <w:rPr>
          <w:rFonts w:ascii="Times New Roman" w:hAnsi="Times New Roman" w:cs="Times New Roman"/>
          <w:sz w:val="24"/>
          <w:szCs w:val="24"/>
        </w:rPr>
      </w:pPr>
    </w:p>
    <w:p w14:paraId="16743A00">
      <w:pPr>
        <w:pStyle w:val="14"/>
        <w:numPr>
          <w:ilvl w:val="0"/>
          <w:numId w:val="0"/>
        </w:numPr>
        <w:spacing w:after="0" w:line="240" w:lineRule="auto"/>
        <w:ind w:leftChars="0"/>
        <w:jc w:val="both"/>
        <w:rPr>
          <w:rFonts w:ascii="Times New Roman" w:hAnsi="Times New Roman" w:eastAsia="Times New Roman" w:cs="Times New Roman"/>
          <w:b/>
          <w:bCs/>
          <w:sz w:val="24"/>
          <w:szCs w:val="24"/>
          <w:lang w:eastAsia="fr-FR"/>
        </w:rPr>
      </w:pPr>
      <w:r>
        <w:rPr>
          <w:rFonts w:hint="default" w:ascii="Times New Roman" w:hAnsi="Times New Roman" w:eastAsia="Times New Roman" w:cs="Times New Roman"/>
          <w:b/>
          <w:bCs/>
          <w:sz w:val="24"/>
          <w:szCs w:val="24"/>
          <w:lang w:val="en-US" w:eastAsia="fr-FR"/>
        </w:rPr>
        <w:t xml:space="preserve">5.3. </w:t>
      </w:r>
      <w:r>
        <w:rPr>
          <w:rFonts w:ascii="Times New Roman" w:hAnsi="Times New Roman" w:eastAsia="Times New Roman" w:cs="Times New Roman"/>
          <w:b/>
          <w:bCs/>
          <w:sz w:val="24"/>
          <w:szCs w:val="24"/>
          <w:lang w:eastAsia="fr-FR"/>
        </w:rPr>
        <w:t>Limites et voies futures de recherche</w:t>
      </w:r>
    </w:p>
    <w:p w14:paraId="7356A157">
      <w:pPr>
        <w:pStyle w:val="14"/>
        <w:spacing w:after="0" w:line="240" w:lineRule="auto"/>
        <w:ind w:left="765"/>
        <w:jc w:val="both"/>
        <w:rPr>
          <w:rFonts w:ascii="Times New Roman" w:hAnsi="Times New Roman" w:eastAsia="Times New Roman" w:cs="Times New Roman"/>
          <w:b/>
          <w:bCs/>
          <w:sz w:val="24"/>
          <w:szCs w:val="24"/>
          <w:lang w:eastAsia="fr-FR"/>
        </w:rPr>
      </w:pPr>
    </w:p>
    <w:p w14:paraId="45B587C7">
      <w:pPr>
        <w:pStyle w:val="1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Malgré les contributions théoriques et managériales de cette étude, certaines limites doivent être soulignées, ouvrant la voie à de futures recherches. Premièrement, le modèle conceptuel proposé s’appuie sur un ensemble limité de variables (utilité perçue, facilité d’utilisation, engagement, attitude, motivation et intention). D’autres facteurs psychologiques ou contextuels, tels que l’auto-efficacité ou l’expérience préalable des étudiants, pourraient enrichir l’analyse et permettre une compréhension plus fine des mécanismes influençant l’adoption des soft skills. Deuxièmement, cette recherche repose exclusivement sur une approche quantitative. Bien que pertinente pour tester le modèle, elle limite l’exploration approfondie des perceptions étudiantes. Il serait donc pertinent, dans des travaux futurs, de compléter l’approche quantitative par des méthodes qualitatives, telles que des entretiens ou des focus groups, afin d’identifier des facteurs latents et d’apporter un éclairage plus nuancé sur les déterminants de l’attitude envers les soft skills. Troisièmement, le modèle ne prend pas en compte de variables modératrices. Or, des facteurs tels que le genre, l’âge ou le niveau de vulnérabilité académique pourraient influencer les relations entre les variables étudiées. L’intégration de ces modérateurs dans de futures recherches permettrait de mieux comprendre les différences individuelles dans l’acceptation et l’apprentissage des soft skills. En résumé, les recherches futures pourraient élargir le modèle conceptuel, diversifier les approches méthodologiques et intégrer de nouvelles variables explicatives et modératrices afin de consolider et d’approfondir les résultats obtenus.</w:t>
      </w:r>
    </w:p>
    <w:p w14:paraId="000E0BEE">
      <w:pPr>
        <w:autoSpaceDE w:val="0"/>
        <w:autoSpaceDN w:val="0"/>
        <w:adjustRightInd w:val="0"/>
        <w:rPr>
          <w:rFonts w:hint="default" w:asciiTheme="majorBidi" w:hAnsiTheme="majorBidi" w:cstheme="majorBidi"/>
          <w:b w:val="0"/>
          <w:bCs w:val="0"/>
          <w:sz w:val="24"/>
          <w:szCs w:val="24"/>
          <w:lang w:val="fr-FR"/>
        </w:rPr>
      </w:pPr>
    </w:p>
    <w:p w14:paraId="6D1E9D19">
      <w:pPr>
        <w:autoSpaceDE w:val="0"/>
        <w:autoSpaceDN w:val="0"/>
        <w:adjustRightInd w:val="0"/>
        <w:rPr>
          <w:rFonts w:hint="default" w:ascii="Times New Roman" w:hAnsi="Times New Roman" w:cs="Times New Roman"/>
          <w:b/>
          <w:bCs/>
          <w:sz w:val="24"/>
          <w:szCs w:val="24"/>
          <w:lang w:val="fr-FR"/>
        </w:rPr>
      </w:pPr>
      <w:r>
        <w:rPr>
          <w:rFonts w:hint="default" w:ascii="Times New Roman" w:hAnsi="Times New Roman" w:eastAsia="Times New Roman" w:cs="Times New Roman"/>
          <w:b/>
          <w:bCs/>
          <w:i w:val="0"/>
          <w:iCs w:val="0"/>
          <w:color w:val="auto"/>
          <w:sz w:val="24"/>
          <w:szCs w:val="24"/>
          <w:lang w:val="en-US" w:eastAsia="fr-FR"/>
        </w:rPr>
        <w:t xml:space="preserve"> </w:t>
      </w:r>
    </w:p>
    <w:p w14:paraId="3C1DB9A4">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t xml:space="preserve">Conclusion </w:t>
      </w:r>
    </w:p>
    <w:p w14:paraId="5D3BDFAF">
      <w:pPr>
        <w:autoSpaceDE w:val="0"/>
        <w:autoSpaceDN w:val="0"/>
        <w:adjustRightInd w:val="0"/>
        <w:spacing w:line="240" w:lineRule="auto"/>
        <w:rPr>
          <w:rFonts w:hint="default" w:ascii="Times New Roman" w:hAnsi="Times New Roman" w:cs="Times New Roman"/>
          <w:sz w:val="24"/>
          <w:szCs w:val="24"/>
        </w:rPr>
      </w:pPr>
      <w:r>
        <w:rPr>
          <w:rFonts w:hint="default" w:ascii="Times New Roman" w:hAnsi="Times New Roman" w:cs="Times New Roman"/>
          <w:sz w:val="24"/>
          <w:szCs w:val="24"/>
        </w:rPr>
        <w:t>Cette étude a analysé l’acceptation de l’innovation dans la formation à travers l’intégration d’un cursus axé sur les soft skills, en mobilisant le modèle d’acceptation de la technologie (TAM). Les résultats, obtenus auprès d’un échantillon de 401 étudiants à l’aide d’analyses factorielles et d’équations structurelles, montrent que l’utilité perçue, la facilité d’utilisation et l’engagement influencent positivement l’attitude des étudiants envers l’apprentissage des soft skills. Cette attitude favorise à son tour leur motivation, laquelle constitue un déterminant majeur de leur intention d’apprentissage.</w:t>
      </w:r>
    </w:p>
    <w:p w14:paraId="019F600D">
      <w:pPr>
        <w:pStyle w:val="8"/>
        <w:keepNext w:val="0"/>
        <w:keepLines w:val="0"/>
        <w:widowControl/>
        <w:suppressLineNumbers w:val="0"/>
      </w:pPr>
      <w:r>
        <w:t>L’étude met également en évidence le rôle médiateur de l’attitude entre les facteurs explicatifs et la motivation, ainsi que celui de la motivation entre l’attitude et l’intention d’apprentissage. Sur le plan théorique, cette recherche enrichit l’application du modèle TAM dans le contexte de l’enseignement des soft skills et propose un cadre explicatif intégrateur de leur adoption. Sur le plan managérial, elle souligne l’importance, pour les établissements d’enseignement supérieur, de concevoir des dispositifs pédagogiques utiles, simples d’utilisation et engageants afin de renforcer la motivation et l’implication des étudiants.</w:t>
      </w:r>
    </w:p>
    <w:p w14:paraId="45485DC6">
      <w:pPr>
        <w:pStyle w:val="8"/>
        <w:keepNext w:val="0"/>
        <w:keepLines w:val="0"/>
        <w:widowControl/>
        <w:suppressLineNumbers w:val="0"/>
      </w:pPr>
      <w:r>
        <w:t>Malgré ces contributions, certaines limites subsistent, notamment le recours exclusif à une approche quantitative, l’absence de variables explicatives complémentaires et de variables modératrices. De futures recherches pourraient ainsi intégrer des facteurs tels que l’auto-efficacité, l’expérience des étudiants, l’âge ou le genre, ainsi qu’adopter des approches qualitatives afin d’approfondir la compréhension des mécanismes d’acceptation et d’apprentissage des soft skills.</w:t>
      </w:r>
    </w:p>
    <w:p w14:paraId="147A8665">
      <w:pPr>
        <w:autoSpaceDE w:val="0"/>
        <w:autoSpaceDN w:val="0"/>
        <w:adjustRightInd w:val="0"/>
        <w:rPr>
          <w:rFonts w:asciiTheme="majorBidi" w:hAnsiTheme="majorBidi" w:cstheme="majorBidi"/>
          <w:b/>
          <w:bCs/>
          <w:sz w:val="24"/>
          <w:szCs w:val="24"/>
        </w:rPr>
      </w:pPr>
    </w:p>
    <w:p w14:paraId="10B60F5C">
      <w:pPr>
        <w:rPr>
          <w:rFonts w:eastAsia="Calibri" w:asciiTheme="majorBidi" w:hAnsiTheme="majorBidi" w:cstheme="majorBidi"/>
          <w:b/>
          <w:bCs/>
          <w:sz w:val="24"/>
          <w:szCs w:val="24"/>
        </w:rPr>
      </w:pPr>
      <w:r>
        <w:rPr>
          <w:rFonts w:asciiTheme="majorBidi" w:hAnsiTheme="majorBidi" w:cstheme="majorBidi"/>
          <w:b/>
          <w:bCs/>
          <w:sz w:val="24"/>
          <w:szCs w:val="24"/>
        </w:rPr>
        <w:t xml:space="preserve">BIBLIOGRAPHIE   </w:t>
      </w:r>
    </w:p>
    <w:p w14:paraId="26F2EB6B">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Abdullah, F., Ward, R. &amp; Ahmed E. (2016). Investigating the influence of the most commonly used external variables of TAM on student’s perceived ease of use and perceived usefulness of e-portfolios. </w:t>
      </w:r>
      <w:r>
        <w:rPr>
          <w:rFonts w:ascii="Times New Roman" w:hAnsi="Times New Roman" w:eastAsia="Times New Roman" w:cs="Times New Roman"/>
          <w:i/>
          <w:iCs/>
          <w:sz w:val="24"/>
          <w:szCs w:val="24"/>
          <w:lang w:val="en-US" w:eastAsia="fr-FR"/>
        </w:rPr>
        <w:t>Computers in Human Behavior</w:t>
      </w:r>
      <w:r>
        <w:rPr>
          <w:rFonts w:ascii="Times New Roman" w:hAnsi="Times New Roman" w:eastAsia="Times New Roman" w:cs="Times New Roman"/>
          <w:sz w:val="24"/>
          <w:szCs w:val="24"/>
          <w:lang w:val="en-US" w:eastAsia="fr-FR"/>
        </w:rPr>
        <w:t>, 63, 75-90.</w:t>
      </w:r>
    </w:p>
    <w:p w14:paraId="2843B75C">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t xml:space="preserve">Abu Bakara, K., Ahmad Tarmizia, R., Mahyuddina, R., Eliasa, H., Wong Su Luana, &amp;MohdAyub, A. F. (2010). </w:t>
      </w:r>
      <w:r>
        <w:rPr>
          <w:rFonts w:ascii="Times New Roman" w:hAnsi="Times New Roman" w:eastAsia="Times New Roman" w:cs="Times New Roman"/>
          <w:sz w:val="24"/>
          <w:szCs w:val="24"/>
          <w:lang w:val="en-US" w:eastAsia="fr-FR"/>
        </w:rPr>
        <w:t xml:space="preserve">Relationships between university students’ achievement motivation, attitude and academic performance in Malaysia. Procedia </w:t>
      </w:r>
      <w:r>
        <w:rPr>
          <w:rFonts w:ascii="Times New Roman" w:hAnsi="Times New Roman" w:eastAsia="Times New Roman" w:cs="Times New Roman"/>
          <w:i/>
          <w:iCs/>
          <w:sz w:val="24"/>
          <w:szCs w:val="24"/>
          <w:lang w:val="en-US" w:eastAsia="fr-FR"/>
        </w:rPr>
        <w:t>- Social and Behavioral Sciences,</w:t>
      </w:r>
      <w:r>
        <w:rPr>
          <w:rFonts w:ascii="Times New Roman" w:hAnsi="Times New Roman" w:eastAsia="Times New Roman" w:cs="Times New Roman"/>
          <w:sz w:val="24"/>
          <w:szCs w:val="24"/>
          <w:lang w:val="en-US" w:eastAsia="fr-FR"/>
        </w:rPr>
        <w:t xml:space="preserve"> 2, 4906-49109pp. </w:t>
      </w:r>
    </w:p>
    <w:p w14:paraId="798F5B4F">
      <w:pPr>
        <w:spacing w:after="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Adams, D. A., Nelson, R. R., &amp; Todd, P. A. (1992). Perceived usefulness, ease of use, and usage of information technology: A replication. </w:t>
      </w:r>
      <w:r>
        <w:rPr>
          <w:rFonts w:ascii="Times New Roman" w:hAnsi="Times New Roman" w:eastAsia="Times New Roman" w:cs="Times New Roman"/>
          <w:i/>
          <w:iCs/>
          <w:sz w:val="24"/>
          <w:szCs w:val="24"/>
          <w:lang w:val="en-US" w:eastAsia="fr-FR"/>
        </w:rPr>
        <w:t>MIS Quarterly, 16</w:t>
      </w:r>
      <w:r>
        <w:rPr>
          <w:rFonts w:ascii="Times New Roman" w:hAnsi="Times New Roman" w:eastAsia="Times New Roman" w:cs="Times New Roman"/>
          <w:sz w:val="24"/>
          <w:szCs w:val="24"/>
          <w:lang w:val="en-US" w:eastAsia="fr-FR"/>
        </w:rPr>
        <w:t>(2), 227-247.</w:t>
      </w:r>
    </w:p>
    <w:p w14:paraId="3FA2E9E8">
      <w:pPr>
        <w:spacing w:line="240" w:lineRule="auto"/>
        <w:jc w:val="both"/>
        <w:rPr>
          <w:rFonts w:ascii="Times New Roman" w:hAnsi="Times New Roman" w:cs="Times New Roman"/>
          <w:sz w:val="24"/>
          <w:szCs w:val="24"/>
        </w:rPr>
      </w:pPr>
      <w:r>
        <w:rPr>
          <w:rFonts w:ascii="Times New Roman" w:hAnsi="Times New Roman" w:cs="Times New Roman"/>
          <w:sz w:val="24"/>
          <w:szCs w:val="24"/>
        </w:rPr>
        <w:t>Ajzen, I. (1988). Attitudes, personality, and behavior. DorseyPress.</w:t>
      </w:r>
    </w:p>
    <w:p w14:paraId="18C059D3">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Alazam, A.-O., Bakar, A. R., Hamzah, R., &amp; Asmiran, S. (2013). </w:t>
      </w:r>
      <w:r>
        <w:rPr>
          <w:rStyle w:val="6"/>
          <w:rFonts w:ascii="Times New Roman" w:hAnsi="Times New Roman" w:cs="Times New Roman"/>
          <w:sz w:val="24"/>
          <w:szCs w:val="24"/>
        </w:rPr>
        <w:t>Teachers’ ICT skills and ICT integration in the classroom: The case of vocational and technical teachers in Malaysia</w:t>
      </w:r>
      <w:r>
        <w:rPr>
          <w:rFonts w:ascii="Times New Roman" w:hAnsi="Times New Roman" w:cs="Times New Roman"/>
          <w:sz w:val="24"/>
          <w:szCs w:val="24"/>
        </w:rPr>
        <w:t xml:space="preserve">. </w:t>
      </w:r>
      <w:r>
        <w:rPr>
          <w:rStyle w:val="6"/>
          <w:rFonts w:ascii="Times New Roman" w:hAnsi="Times New Roman" w:cs="Times New Roman"/>
          <w:sz w:val="24"/>
          <w:szCs w:val="24"/>
        </w:rPr>
        <w:t>Creative Education, 3</w:t>
      </w:r>
      <w:r>
        <w:rPr>
          <w:rFonts w:ascii="Times New Roman" w:hAnsi="Times New Roman" w:cs="Times New Roman"/>
          <w:sz w:val="24"/>
          <w:szCs w:val="24"/>
        </w:rPr>
        <w:t>(8B), 70–76.</w:t>
      </w:r>
    </w:p>
    <w:p w14:paraId="1C3B4BBC">
      <w:pPr>
        <w:spacing w:before="100" w:beforeAutospacing="1" w:after="100" w:afterAutospacing="1" w:line="240" w:lineRule="auto"/>
        <w:jc w:val="both"/>
        <w:rPr>
          <w:rFonts w:ascii="Times New Roman" w:hAnsi="Times New Roman" w:cs="Times New Roman"/>
          <w:sz w:val="24"/>
          <w:szCs w:val="24"/>
          <w:shd w:val="clear" w:color="auto" w:fill="FFFFFF"/>
        </w:rPr>
      </w:pPr>
      <w:r>
        <w:rPr>
          <w:rFonts w:ascii="Times New Roman" w:hAnsi="Times New Roman" w:eastAsia="Times New Roman" w:cs="Times New Roman"/>
          <w:sz w:val="24"/>
          <w:szCs w:val="24"/>
          <w:lang w:eastAsia="fr-FR"/>
        </w:rPr>
        <w:t xml:space="preserve"> </w:t>
      </w:r>
      <w:r>
        <w:rPr>
          <w:rFonts w:ascii="Times New Roman" w:hAnsi="Times New Roman" w:cs="Times New Roman"/>
          <w:sz w:val="24"/>
          <w:szCs w:val="24"/>
          <w:shd w:val="clear" w:color="auto" w:fill="FFFFFF"/>
        </w:rPr>
        <w:t>Al-Emran, M., Mezhuyev, V., &amp; Kamaludin, A. (2018). Technology Acceptance Model in M-Learning Context: A Systematic Review. Computers &amp; Education, 125, 389-412</w:t>
      </w:r>
    </w:p>
    <w:p w14:paraId="5E6B4741">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lang w:val="en-US"/>
        </w:rPr>
        <w:t xml:space="preserve">Allen, N. J., &amp; Meyer, J. P. (1990). The measurement and antecedents of affective, continuance, and normative commitment to the organization. </w:t>
      </w:r>
      <w:r>
        <w:rPr>
          <w:rFonts w:ascii="Times New Roman" w:hAnsi="Times New Roman" w:cs="Times New Roman"/>
          <w:i/>
          <w:iCs/>
          <w:sz w:val="24"/>
          <w:szCs w:val="24"/>
          <w:lang w:val="en-US"/>
        </w:rPr>
        <w:t>Journal of Occupational Psychology, 63</w:t>
      </w:r>
      <w:r>
        <w:rPr>
          <w:rFonts w:ascii="Times New Roman" w:hAnsi="Times New Roman" w:cs="Times New Roman"/>
          <w:sz w:val="24"/>
          <w:szCs w:val="24"/>
          <w:lang w:val="en-US"/>
        </w:rPr>
        <w:t>, 1-18</w:t>
      </w:r>
    </w:p>
    <w:p w14:paraId="52C8A03D">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Ayari, M., Mabilon-Bonfils, B., &amp; Jeannin, L. (2023). Élaboration d’une échelle de mesure de la motivation dans un dispositif de cours en ligne ouvert et massif (EMOC-CLOM) en contexte francophone. </w:t>
      </w:r>
      <w:r>
        <w:rPr>
          <w:rFonts w:ascii="Times New Roman" w:hAnsi="Times New Roman" w:eastAsia="Times New Roman" w:cs="Times New Roman"/>
          <w:i/>
          <w:iCs/>
          <w:sz w:val="24"/>
          <w:szCs w:val="24"/>
          <w:lang w:eastAsia="fr-FR"/>
        </w:rPr>
        <w:t>Distances et médiations des savoirs, 41</w:t>
      </w:r>
      <w:r>
        <w:rPr>
          <w:rFonts w:ascii="Times New Roman" w:hAnsi="Times New Roman" w:eastAsia="Times New Roman" w:cs="Times New Roman"/>
          <w:sz w:val="24"/>
          <w:szCs w:val="24"/>
          <w:lang w:eastAsia="fr-FR"/>
        </w:rPr>
        <w:t>, Varia</w:t>
      </w:r>
    </w:p>
    <w:p w14:paraId="1B45B691">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Baber, H. (2020). </w:t>
      </w:r>
      <w:r>
        <w:rPr>
          <w:rStyle w:val="6"/>
          <w:rFonts w:ascii="Times New Roman" w:hAnsi="Times New Roman" w:cs="Times New Roman"/>
          <w:sz w:val="24"/>
          <w:szCs w:val="24"/>
        </w:rPr>
        <w:t>Determinants of students’ perceived learning outcome and satisfaction in online learning during the pandemic of COVID-19</w:t>
      </w:r>
      <w:r>
        <w:rPr>
          <w:rFonts w:ascii="Times New Roman" w:hAnsi="Times New Roman" w:cs="Times New Roman"/>
          <w:sz w:val="24"/>
          <w:szCs w:val="24"/>
        </w:rPr>
        <w:t xml:space="preserve">. </w:t>
      </w:r>
      <w:r>
        <w:rPr>
          <w:rStyle w:val="6"/>
          <w:rFonts w:ascii="Times New Roman" w:hAnsi="Times New Roman" w:cs="Times New Roman"/>
          <w:sz w:val="24"/>
          <w:szCs w:val="24"/>
        </w:rPr>
        <w:t>Journal of Education and e-Learning Research, 7</w:t>
      </w:r>
      <w:r>
        <w:rPr>
          <w:rFonts w:ascii="Times New Roman" w:hAnsi="Times New Roman" w:cs="Times New Roman"/>
          <w:sz w:val="24"/>
          <w:szCs w:val="24"/>
        </w:rPr>
        <w:t>(3), 285–292.</w:t>
      </w:r>
    </w:p>
    <w:p w14:paraId="474987BC">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Baber, H. (2021). </w:t>
      </w:r>
      <w:r>
        <w:rPr>
          <w:rStyle w:val="6"/>
          <w:rFonts w:ascii="Times New Roman" w:hAnsi="Times New Roman" w:cs="Times New Roman"/>
          <w:sz w:val="24"/>
          <w:szCs w:val="24"/>
        </w:rPr>
        <w:t>Modelling the acceptance of e-learning during the pandemic of COVID-19: A study of South Korea</w:t>
      </w:r>
      <w:r>
        <w:rPr>
          <w:rFonts w:ascii="Times New Roman" w:hAnsi="Times New Roman" w:cs="Times New Roman"/>
          <w:sz w:val="24"/>
          <w:szCs w:val="24"/>
        </w:rPr>
        <w:t xml:space="preserve">. </w:t>
      </w:r>
      <w:r>
        <w:rPr>
          <w:rStyle w:val="6"/>
          <w:rFonts w:ascii="Times New Roman" w:hAnsi="Times New Roman" w:cs="Times New Roman"/>
          <w:sz w:val="24"/>
          <w:szCs w:val="24"/>
        </w:rPr>
        <w:t>The International Journal of Management Education, 19</w:t>
      </w:r>
      <w:r>
        <w:rPr>
          <w:rFonts w:ascii="Times New Roman" w:hAnsi="Times New Roman" w:cs="Times New Roman"/>
          <w:sz w:val="24"/>
          <w:szCs w:val="24"/>
        </w:rPr>
        <w:t>(2), 100503.</w:t>
      </w:r>
    </w:p>
    <w:p w14:paraId="1CA068CD">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Bedi, A. (2023). </w:t>
      </w:r>
      <w:r>
        <w:rPr>
          <w:rStyle w:val="6"/>
          <w:rFonts w:ascii="Times New Roman" w:hAnsi="Times New Roman" w:cs="Times New Roman"/>
          <w:sz w:val="24"/>
          <w:szCs w:val="24"/>
        </w:rPr>
        <w:t>Keep learning: Student engagement in an online environment</w:t>
      </w:r>
      <w:r>
        <w:rPr>
          <w:rFonts w:ascii="Times New Roman" w:hAnsi="Times New Roman" w:cs="Times New Roman"/>
          <w:sz w:val="24"/>
          <w:szCs w:val="24"/>
        </w:rPr>
        <w:t xml:space="preserve">. </w:t>
      </w:r>
      <w:r>
        <w:rPr>
          <w:rStyle w:val="6"/>
          <w:rFonts w:ascii="Times New Roman" w:hAnsi="Times New Roman" w:cs="Times New Roman"/>
          <w:sz w:val="24"/>
          <w:szCs w:val="24"/>
        </w:rPr>
        <w:t>Online Learning, 27</w:t>
      </w:r>
      <w:r>
        <w:rPr>
          <w:rFonts w:ascii="Times New Roman" w:hAnsi="Times New Roman" w:cs="Times New Roman"/>
          <w:sz w:val="24"/>
          <w:szCs w:val="24"/>
        </w:rPr>
        <w:t>(2), 119–136.</w:t>
      </w:r>
    </w:p>
    <w:p w14:paraId="7E0BEE07">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Bizami, N.A., Tasir, Z. &amp; Na, K.S. (2022). Innovative pedagogical principles and technological tools capabilities for immersive blended learning: a systematic literature review. </w:t>
      </w:r>
      <w:r>
        <w:rPr>
          <w:rFonts w:ascii="Times New Roman" w:hAnsi="Times New Roman" w:eastAsia="Times New Roman" w:cs="Times New Roman"/>
          <w:i/>
          <w:iCs/>
          <w:sz w:val="24"/>
          <w:szCs w:val="24"/>
          <w:lang w:val="en-US" w:eastAsia="fr-FR"/>
        </w:rPr>
        <w:t>Education and Information Technologies</w:t>
      </w:r>
      <w:r>
        <w:rPr>
          <w:rFonts w:ascii="Times New Roman" w:hAnsi="Times New Roman" w:eastAsia="Times New Roman" w:cs="Times New Roman"/>
          <w:sz w:val="24"/>
          <w:szCs w:val="24"/>
          <w:lang w:val="en-US" w:eastAsia="fr-FR"/>
        </w:rPr>
        <w:t>, 28, 1373-1425</w:t>
      </w:r>
    </w:p>
    <w:p w14:paraId="598315B1">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Bodovski, K., &amp; Farkas, G. (2007). </w:t>
      </w:r>
      <w:r>
        <w:rPr>
          <w:rFonts w:ascii="Times New Roman" w:hAnsi="Times New Roman" w:eastAsia="Times New Roman" w:cs="Times New Roman"/>
          <w:i/>
          <w:iCs/>
          <w:sz w:val="24"/>
          <w:szCs w:val="24"/>
          <w:lang w:eastAsia="fr-FR"/>
        </w:rPr>
        <w:t>Mathematics growth in early elementary school: The roles of beginning knowledge, student engagement, and instruction.</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The Elementary School Journal, 108</w:t>
      </w:r>
      <w:r>
        <w:rPr>
          <w:rFonts w:ascii="Times New Roman" w:hAnsi="Times New Roman" w:eastAsia="Times New Roman" w:cs="Times New Roman"/>
          <w:sz w:val="24"/>
          <w:szCs w:val="24"/>
          <w:lang w:eastAsia="fr-FR"/>
        </w:rPr>
        <w:t>(2), 115–130.</w:t>
      </w:r>
    </w:p>
    <w:p w14:paraId="508BB7AB">
      <w:pPr>
        <w:spacing w:before="120" w:after="12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Bodovski, K., &amp;Farkas, G. (2007). Mathematics growth in early elementary school: The roles of beginning knowledge, student engagement, and instruction. </w:t>
      </w:r>
      <w:r>
        <w:rPr>
          <w:rStyle w:val="6"/>
          <w:rFonts w:ascii="Times New Roman" w:hAnsi="Times New Roman" w:cs="Times New Roman"/>
          <w:sz w:val="24"/>
          <w:szCs w:val="24"/>
          <w:shd w:val="clear" w:color="auto" w:fill="FFFFFF"/>
          <w:lang w:val="en-US"/>
        </w:rPr>
        <w:t>The Elementary School Journal, 108</w:t>
      </w:r>
      <w:r>
        <w:rPr>
          <w:rFonts w:ascii="Times New Roman" w:hAnsi="Times New Roman" w:cs="Times New Roman"/>
          <w:sz w:val="24"/>
          <w:szCs w:val="24"/>
          <w:shd w:val="clear" w:color="auto" w:fill="FFFFFF"/>
          <w:lang w:val="en-US"/>
        </w:rPr>
        <w:t>(2), 115–130</w:t>
      </w:r>
    </w:p>
    <w:p w14:paraId="4B37D05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Bond, M., &amp; Bedenlier, S. (2019). </w:t>
      </w:r>
      <w:r>
        <w:rPr>
          <w:rStyle w:val="6"/>
          <w:rFonts w:ascii="Times New Roman" w:hAnsi="Times New Roman" w:cs="Times New Roman"/>
          <w:sz w:val="24"/>
          <w:szCs w:val="24"/>
        </w:rPr>
        <w:t>Facilitating student engagement through educational technology: Towards a conceptual framework</w:t>
      </w:r>
      <w:r>
        <w:rPr>
          <w:rFonts w:ascii="Times New Roman" w:hAnsi="Times New Roman" w:cs="Times New Roman"/>
          <w:sz w:val="24"/>
          <w:szCs w:val="24"/>
        </w:rPr>
        <w:t xml:space="preserve">. </w:t>
      </w:r>
      <w:r>
        <w:rPr>
          <w:rStyle w:val="6"/>
          <w:rFonts w:ascii="Times New Roman" w:hAnsi="Times New Roman" w:cs="Times New Roman"/>
          <w:sz w:val="24"/>
          <w:szCs w:val="24"/>
        </w:rPr>
        <w:t>Journal of Interactive Media in Education, 2019</w:t>
      </w:r>
      <w:r>
        <w:rPr>
          <w:rFonts w:ascii="Times New Roman" w:hAnsi="Times New Roman" w:cs="Times New Roman"/>
          <w:sz w:val="24"/>
          <w:szCs w:val="24"/>
        </w:rPr>
        <w:t>(1), 11, 1–14.</w:t>
      </w:r>
    </w:p>
    <w:p w14:paraId="40193A4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Campillo-Ferrer, J.-M., Miralles-Martínez, P., &amp; Sánchez-Ibáñez, R. (2020). </w:t>
      </w:r>
      <w:r>
        <w:rPr>
          <w:rStyle w:val="6"/>
          <w:rFonts w:ascii="Times New Roman" w:hAnsi="Times New Roman" w:cs="Times New Roman"/>
          <w:sz w:val="24"/>
          <w:szCs w:val="24"/>
        </w:rPr>
        <w:t>Gamification in higher education: Impact on student motivation and the acquisition of social and civic key competencies</w:t>
      </w:r>
      <w:r>
        <w:rPr>
          <w:rFonts w:ascii="Times New Roman" w:hAnsi="Times New Roman" w:cs="Times New Roman"/>
          <w:sz w:val="24"/>
          <w:szCs w:val="24"/>
        </w:rPr>
        <w:t xml:space="preserve">. </w:t>
      </w:r>
      <w:r>
        <w:rPr>
          <w:rStyle w:val="6"/>
          <w:rFonts w:ascii="Times New Roman" w:hAnsi="Times New Roman" w:cs="Times New Roman"/>
          <w:sz w:val="24"/>
          <w:szCs w:val="24"/>
        </w:rPr>
        <w:t>Sustainability, 12</w:t>
      </w:r>
      <w:r>
        <w:rPr>
          <w:rFonts w:ascii="Times New Roman" w:hAnsi="Times New Roman" w:cs="Times New Roman"/>
          <w:sz w:val="24"/>
          <w:szCs w:val="24"/>
        </w:rPr>
        <w:t>(12), 4822.</w:t>
      </w:r>
    </w:p>
    <w:p w14:paraId="43B69509">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 Chen, L. D., Gillenson, M. L., &amp; Sherrell, D. L. (2002). </w:t>
      </w:r>
      <w:r>
        <w:rPr>
          <w:rFonts w:ascii="Times New Roman" w:hAnsi="Times New Roman" w:eastAsia="Times New Roman" w:cs="Times New Roman"/>
          <w:i/>
          <w:iCs/>
          <w:sz w:val="24"/>
          <w:szCs w:val="24"/>
          <w:lang w:eastAsia="fr-FR"/>
        </w:rPr>
        <w:t>Enticing online consumers: An extended technology acceptance perspective.</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Information &amp; Management, 39</w:t>
      </w:r>
      <w:r>
        <w:rPr>
          <w:rFonts w:ascii="Times New Roman" w:hAnsi="Times New Roman" w:eastAsia="Times New Roman" w:cs="Times New Roman"/>
          <w:sz w:val="24"/>
          <w:szCs w:val="24"/>
          <w:lang w:eastAsia="fr-FR"/>
        </w:rPr>
        <w:t>(8), 705–719.</w:t>
      </w:r>
    </w:p>
    <w:p w14:paraId="3E3DB8EA">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Chen, L.D., Gillenson, M. and Sherrell, D.L. (2002). Enticing online consumers : An extended technology acceptance perspective. </w:t>
      </w:r>
      <w:r>
        <w:rPr>
          <w:rFonts w:ascii="Times New Roman" w:hAnsi="Times New Roman" w:eastAsia="Times New Roman" w:cs="Times New Roman"/>
          <w:i/>
          <w:iCs/>
          <w:sz w:val="24"/>
          <w:szCs w:val="24"/>
          <w:lang w:eastAsia="fr-FR"/>
        </w:rPr>
        <w:t>Information and Management</w:t>
      </w:r>
      <w:r>
        <w:rPr>
          <w:rFonts w:ascii="Times New Roman" w:hAnsi="Times New Roman" w:eastAsia="Times New Roman" w:cs="Times New Roman"/>
          <w:sz w:val="24"/>
          <w:szCs w:val="24"/>
          <w:lang w:eastAsia="fr-FR"/>
        </w:rPr>
        <w:t>, 39(8) : 705-719</w:t>
      </w:r>
    </w:p>
    <w:p w14:paraId="2CD8746C">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 xml:space="preserve">Davis, F. D. (1989). Perceived usefulness, perceived ease of use, and user acceptance of information technology. </w:t>
      </w:r>
      <w:r>
        <w:rPr>
          <w:rFonts w:ascii="Times New Roman" w:hAnsi="Times New Roman" w:eastAsia="Times New Roman" w:cs="Times New Roman"/>
          <w:i/>
          <w:iCs/>
          <w:sz w:val="24"/>
          <w:szCs w:val="24"/>
          <w:lang w:val="en-US" w:eastAsia="fr-FR"/>
        </w:rPr>
        <w:t>MIS Quarterly, 13</w:t>
      </w:r>
      <w:r>
        <w:rPr>
          <w:rFonts w:ascii="Times New Roman" w:hAnsi="Times New Roman" w:eastAsia="Times New Roman" w:cs="Times New Roman"/>
          <w:sz w:val="24"/>
          <w:szCs w:val="24"/>
          <w:lang w:val="en-US" w:eastAsia="fr-FR"/>
        </w:rPr>
        <w:t>(3), 319-340</w:t>
      </w:r>
    </w:p>
    <w:p w14:paraId="5C92CC04">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Davis, F. D. (1989). </w:t>
      </w:r>
      <w:r>
        <w:rPr>
          <w:rFonts w:ascii="Times New Roman" w:hAnsi="Times New Roman" w:eastAsia="Times New Roman" w:cs="Times New Roman"/>
          <w:i/>
          <w:iCs/>
          <w:sz w:val="24"/>
          <w:szCs w:val="24"/>
          <w:lang w:eastAsia="fr-FR"/>
        </w:rPr>
        <w:t>Perceived usefulness, perceived ease of use, and user acceptance of information technology.</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MIS Quarterly, 13</w:t>
      </w:r>
      <w:r>
        <w:rPr>
          <w:rFonts w:ascii="Times New Roman" w:hAnsi="Times New Roman" w:eastAsia="Times New Roman" w:cs="Times New Roman"/>
          <w:sz w:val="24"/>
          <w:szCs w:val="24"/>
          <w:lang w:eastAsia="fr-FR"/>
        </w:rPr>
        <w:t>(3), 319–340.</w:t>
      </w:r>
    </w:p>
    <w:p w14:paraId="0714B205">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Davis, F. D., Bagozzi, R. P., &amp;Warshaw, P. R. (1989). User acceptance of computer technology: A comparison of two theoretical models. </w:t>
      </w:r>
      <w:r>
        <w:rPr>
          <w:rFonts w:ascii="Times New Roman" w:hAnsi="Times New Roman" w:eastAsia="Times New Roman" w:cs="Times New Roman"/>
          <w:i/>
          <w:iCs/>
          <w:sz w:val="24"/>
          <w:szCs w:val="24"/>
          <w:lang w:val="en-US" w:eastAsia="fr-FR"/>
        </w:rPr>
        <w:t>Management Science, 35</w:t>
      </w:r>
      <w:r>
        <w:rPr>
          <w:rFonts w:ascii="Times New Roman" w:hAnsi="Times New Roman" w:eastAsia="Times New Roman" w:cs="Times New Roman"/>
          <w:sz w:val="24"/>
          <w:szCs w:val="24"/>
          <w:lang w:val="en-US" w:eastAsia="fr-FR"/>
        </w:rPr>
        <w:t>(8), 982–1003pp.</w:t>
      </w:r>
    </w:p>
    <w:p w14:paraId="4630B9CE">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Deci, E. L., &amp; Ryan, R. M. (2017). </w:t>
      </w:r>
      <w:r>
        <w:rPr>
          <w:rFonts w:ascii="Times New Roman" w:hAnsi="Times New Roman" w:eastAsia="Times New Roman" w:cs="Times New Roman"/>
          <w:i/>
          <w:iCs/>
          <w:sz w:val="24"/>
          <w:szCs w:val="24"/>
          <w:lang w:eastAsia="fr-FR"/>
        </w:rPr>
        <w:t>Self-determination theory: Basic psychological needs in motivation, development, and wellness.</w:t>
      </w:r>
      <w:r>
        <w:rPr>
          <w:rFonts w:ascii="Times New Roman" w:hAnsi="Times New Roman" w:eastAsia="Times New Roman" w:cs="Times New Roman"/>
          <w:sz w:val="24"/>
          <w:szCs w:val="24"/>
          <w:lang w:eastAsia="fr-FR"/>
        </w:rPr>
        <w:t xml:space="preserve"> Guilford Press.</w:t>
      </w:r>
    </w:p>
    <w:p w14:paraId="43E68EA0">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Deveci, T., &amp; Nunn, R. (2018). comm151: a project-based course to enhance engineering students’communication skills. </w:t>
      </w:r>
      <w:r>
        <w:rPr>
          <w:rFonts w:ascii="Times New Roman" w:hAnsi="Times New Roman" w:eastAsia="Times New Roman" w:cs="Times New Roman"/>
          <w:i/>
          <w:iCs/>
          <w:sz w:val="24"/>
          <w:szCs w:val="24"/>
          <w:lang w:val="en-US" w:eastAsia="fr-FR"/>
        </w:rPr>
        <w:t>Journal of Teaching English for Specific and Academic Purposes</w:t>
      </w:r>
      <w:r>
        <w:rPr>
          <w:rFonts w:ascii="Times New Roman" w:hAnsi="Times New Roman" w:eastAsia="Times New Roman" w:cs="Times New Roman"/>
          <w:sz w:val="24"/>
          <w:szCs w:val="24"/>
          <w:lang w:val="en-US" w:eastAsia="fr-FR"/>
        </w:rPr>
        <w:t xml:space="preserve">, 6(1), 027- 042 </w:t>
      </w:r>
    </w:p>
    <w:p w14:paraId="41D027F3">
      <w:pPr>
        <w:spacing w:before="120" w:after="120" w:line="240" w:lineRule="auto"/>
        <w:jc w:val="both"/>
        <w:rPr>
          <w:rFonts w:ascii="Times New Roman" w:hAnsi="Times New Roman" w:eastAsia="Times New Roman" w:cs="Times New Roman"/>
          <w:i/>
          <w:iCs/>
          <w:sz w:val="24"/>
          <w:szCs w:val="24"/>
          <w:lang w:val="en-US" w:eastAsia="fr-FR"/>
        </w:rPr>
      </w:pPr>
      <w:r>
        <w:rPr>
          <w:rFonts w:ascii="Times New Roman" w:hAnsi="Times New Roman" w:eastAsia="Times New Roman" w:cs="Times New Roman"/>
          <w:sz w:val="24"/>
          <w:szCs w:val="24"/>
          <w:lang w:val="en-US" w:eastAsia="fr-FR"/>
        </w:rPr>
        <w:t xml:space="preserve">Farhan, R. (2017). Describing soft skills attributes of senior high school teacher in mathematics learning. </w:t>
      </w:r>
      <w:r>
        <w:rPr>
          <w:rFonts w:ascii="Times New Roman" w:hAnsi="Times New Roman" w:eastAsia="Times New Roman" w:cs="Times New Roman"/>
          <w:i/>
          <w:iCs/>
          <w:sz w:val="24"/>
          <w:szCs w:val="24"/>
          <w:lang w:val="en-US" w:eastAsia="fr-FR"/>
        </w:rPr>
        <w:t>4</w:t>
      </w:r>
      <w:r>
        <w:rPr>
          <w:rFonts w:ascii="Times New Roman" w:hAnsi="Times New Roman" w:eastAsia="Times New Roman" w:cs="Times New Roman"/>
          <w:i/>
          <w:iCs/>
          <w:sz w:val="24"/>
          <w:szCs w:val="24"/>
          <w:vertAlign w:val="superscript"/>
          <w:lang w:val="en-US" w:eastAsia="fr-FR"/>
        </w:rPr>
        <w:t>TH</w:t>
      </w:r>
      <w:r>
        <w:rPr>
          <w:rFonts w:ascii="Times New Roman" w:hAnsi="Times New Roman" w:eastAsia="Times New Roman" w:cs="Times New Roman"/>
          <w:i/>
          <w:iCs/>
          <w:sz w:val="24"/>
          <w:szCs w:val="24"/>
          <w:lang w:val="en-US" w:eastAsia="fr-FR"/>
        </w:rPr>
        <w:t xml:space="preserve"> International Conference on Frontiers of Biological Sciences and Engineering</w:t>
      </w:r>
    </w:p>
    <w:p w14:paraId="1F27C4E3">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 xml:space="preserve">Faulx, D. &amp; Peters, S. (2011). </w:t>
      </w:r>
      <w:r>
        <w:rPr>
          <w:rFonts w:ascii="Times New Roman" w:hAnsi="Times New Roman" w:eastAsia="Times New Roman" w:cs="Times New Roman"/>
          <w:sz w:val="24"/>
          <w:szCs w:val="24"/>
          <w:lang w:eastAsia="fr-FR"/>
        </w:rPr>
        <w:t xml:space="preserve">Evaluer les compétences sociales : Une nécessité pour les organisations, un défi pour les organismes de formation. </w:t>
      </w:r>
      <w:r>
        <w:rPr>
          <w:rFonts w:ascii="Times New Roman" w:hAnsi="Times New Roman" w:eastAsia="Times New Roman" w:cs="Times New Roman"/>
          <w:i/>
          <w:iCs/>
          <w:sz w:val="24"/>
          <w:szCs w:val="24"/>
          <w:lang w:eastAsia="fr-FR"/>
        </w:rPr>
        <w:t xml:space="preserve">Psychologie du Travail et des organisations, </w:t>
      </w:r>
      <w:r>
        <w:rPr>
          <w:rFonts w:ascii="Times New Roman" w:hAnsi="Times New Roman" w:eastAsia="Times New Roman" w:cs="Times New Roman"/>
          <w:sz w:val="24"/>
          <w:szCs w:val="24"/>
          <w:lang w:eastAsia="fr-FR"/>
        </w:rPr>
        <w:t>1-15.</w:t>
      </w:r>
    </w:p>
    <w:p w14:paraId="67BDED7B">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lang w:val="en-US"/>
        </w:rPr>
        <w:t xml:space="preserve">Fornell, C., and Larcker, D. (1981). Evaluating structural equation models with unobservable variables and measurement error. </w:t>
      </w:r>
      <w:r>
        <w:rPr>
          <w:rFonts w:ascii="Times New Roman" w:hAnsi="Times New Roman" w:cs="Times New Roman"/>
          <w:i/>
          <w:iCs/>
          <w:sz w:val="24"/>
          <w:szCs w:val="24"/>
          <w:lang w:val="en-US"/>
        </w:rPr>
        <w:t xml:space="preserve">Journal of Marketing Research, </w:t>
      </w:r>
      <w:r>
        <w:rPr>
          <w:rFonts w:ascii="Times New Roman" w:hAnsi="Times New Roman" w:cs="Times New Roman"/>
          <w:sz w:val="24"/>
          <w:szCs w:val="24"/>
          <w:lang w:val="en-US"/>
        </w:rPr>
        <w:t>18, 39–50.</w:t>
      </w:r>
    </w:p>
    <w:p w14:paraId="668FBED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Fredricks, J. A., Blumenfeld, P. C., &amp; Paris, A. H. (2016). </w:t>
      </w:r>
      <w:r>
        <w:rPr>
          <w:rFonts w:ascii="Times New Roman" w:hAnsi="Times New Roman" w:eastAsia="Times New Roman" w:cs="Times New Roman"/>
          <w:i/>
          <w:iCs/>
          <w:sz w:val="24"/>
          <w:szCs w:val="24"/>
          <w:lang w:eastAsia="fr-FR"/>
        </w:rPr>
        <w:t>School engagement: Potential of the concept, state of the evidence.</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Review of Educational Research, 74</w:t>
      </w:r>
      <w:r>
        <w:rPr>
          <w:rFonts w:ascii="Times New Roman" w:hAnsi="Times New Roman" w:eastAsia="Times New Roman" w:cs="Times New Roman"/>
          <w:sz w:val="24"/>
          <w:szCs w:val="24"/>
          <w:lang w:eastAsia="fr-FR"/>
        </w:rPr>
        <w:t>(1), 59–109.</w:t>
      </w:r>
    </w:p>
    <w:p w14:paraId="6297C4A6">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Gazit, T., &amp; Eden, S. (2025). </w:t>
      </w:r>
      <w:r>
        <w:rPr>
          <w:rStyle w:val="6"/>
          <w:rFonts w:ascii="Times New Roman" w:hAnsi="Times New Roman" w:cs="Times New Roman"/>
          <w:sz w:val="24"/>
          <w:szCs w:val="24"/>
        </w:rPr>
        <w:t>Students engagement in a forced distance learning: The relation to personality characteristics</w:t>
      </w:r>
      <w:r>
        <w:rPr>
          <w:rFonts w:ascii="Times New Roman" w:hAnsi="Times New Roman" w:cs="Times New Roman"/>
          <w:sz w:val="24"/>
          <w:szCs w:val="24"/>
        </w:rPr>
        <w:t xml:space="preserve">. </w:t>
      </w:r>
      <w:r>
        <w:rPr>
          <w:rStyle w:val="6"/>
          <w:rFonts w:ascii="Times New Roman" w:hAnsi="Times New Roman" w:cs="Times New Roman"/>
          <w:sz w:val="24"/>
          <w:szCs w:val="24"/>
        </w:rPr>
        <w:t>Educational Media International, 62</w:t>
      </w:r>
      <w:r>
        <w:rPr>
          <w:rFonts w:ascii="Times New Roman" w:hAnsi="Times New Roman" w:cs="Times New Roman"/>
          <w:sz w:val="24"/>
          <w:szCs w:val="24"/>
        </w:rPr>
        <w:t>(1), 77–100.</w:t>
      </w:r>
    </w:p>
    <w:p w14:paraId="2E5320D0">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Henrie, C. R., Halverson, L. R., &amp; Graham, C. R. (2015). </w:t>
      </w:r>
      <w:r>
        <w:rPr>
          <w:rFonts w:ascii="Times New Roman" w:hAnsi="Times New Roman" w:eastAsia="Times New Roman" w:cs="Times New Roman"/>
          <w:i/>
          <w:iCs/>
          <w:sz w:val="24"/>
          <w:szCs w:val="24"/>
          <w:lang w:eastAsia="fr-FR"/>
        </w:rPr>
        <w:t>Measuring student engagement in technology-mediated learning: A review.</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Computers &amp; Education, 90</w:t>
      </w:r>
      <w:r>
        <w:rPr>
          <w:rFonts w:ascii="Times New Roman" w:hAnsi="Times New Roman" w:eastAsia="Times New Roman" w:cs="Times New Roman"/>
          <w:sz w:val="24"/>
          <w:szCs w:val="24"/>
          <w:lang w:eastAsia="fr-FR"/>
        </w:rPr>
        <w:t>, 36–53.</w:t>
      </w:r>
    </w:p>
    <w:p w14:paraId="0B4C1977">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Hussein, Z. (2017). </w:t>
      </w:r>
      <w:r>
        <w:rPr>
          <w:rFonts w:ascii="Times New Roman" w:hAnsi="Times New Roman" w:eastAsia="Times New Roman" w:cs="Times New Roman"/>
          <w:i/>
          <w:iCs/>
          <w:sz w:val="24"/>
          <w:szCs w:val="24"/>
          <w:lang w:eastAsia="fr-FR"/>
        </w:rPr>
        <w:t>Leading to intention: The role of attitude in relation to the Technology Acceptance Model in e-learning.</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Procedia Computer Science, 105</w:t>
      </w:r>
      <w:r>
        <w:rPr>
          <w:rFonts w:ascii="Times New Roman" w:hAnsi="Times New Roman" w:eastAsia="Times New Roman" w:cs="Times New Roman"/>
          <w:sz w:val="24"/>
          <w:szCs w:val="24"/>
          <w:lang w:eastAsia="fr-FR"/>
        </w:rPr>
        <w:t>, 159–164.</w:t>
      </w:r>
    </w:p>
    <w:p w14:paraId="5F4126D4">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Jain, Y., &amp; Sidhu, G. K. (2013). Relationship between anxiety, attitude and motivation of tertiary students in learning English as a second language. </w:t>
      </w:r>
      <w:r>
        <w:rPr>
          <w:rFonts w:ascii="Times New Roman" w:hAnsi="Times New Roman" w:eastAsia="Times New Roman" w:cs="Times New Roman"/>
          <w:i/>
          <w:iCs/>
          <w:sz w:val="24"/>
          <w:szCs w:val="24"/>
          <w:lang w:val="en-US" w:eastAsia="fr-FR"/>
        </w:rPr>
        <w:t>Procedia - Social and Behavioral Sciences,</w:t>
      </w:r>
      <w:r>
        <w:rPr>
          <w:rFonts w:ascii="Times New Roman" w:hAnsi="Times New Roman" w:eastAsia="Times New Roman" w:cs="Times New Roman"/>
          <w:sz w:val="24"/>
          <w:szCs w:val="24"/>
          <w:lang w:val="en-US" w:eastAsia="fr-FR"/>
        </w:rPr>
        <w:t xml:space="preserve"> 90, 114-123.</w:t>
      </w:r>
    </w:p>
    <w:p w14:paraId="4EE7DF91">
      <w:pPr>
        <w:spacing w:before="120" w:after="12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Jang, M., Jung, Y., &amp; Kim, S. (2021). Investigating Managers’ Understanding of Chatbots in the Korean Financial Industry. </w:t>
      </w:r>
      <w:r>
        <w:rPr>
          <w:rFonts w:ascii="Times New Roman" w:hAnsi="Times New Roman" w:cs="Times New Roman"/>
          <w:i/>
          <w:iCs/>
          <w:sz w:val="24"/>
          <w:szCs w:val="24"/>
          <w:shd w:val="clear" w:color="auto" w:fill="FFFFFF"/>
          <w:lang w:val="en-US"/>
        </w:rPr>
        <w:t>Computers in Human Behavior</w:t>
      </w:r>
      <w:r>
        <w:rPr>
          <w:rFonts w:ascii="Times New Roman" w:hAnsi="Times New Roman" w:cs="Times New Roman"/>
          <w:sz w:val="24"/>
          <w:szCs w:val="24"/>
          <w:shd w:val="clear" w:color="auto" w:fill="FFFFFF"/>
          <w:lang w:val="en-US"/>
        </w:rPr>
        <w:t>, 120, Article ID: 106747</w:t>
      </w:r>
    </w:p>
    <w:p w14:paraId="48850225">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Jang, S., Kim, J., &amp; Kim, S. (2021). </w:t>
      </w:r>
      <w:r>
        <w:rPr>
          <w:rFonts w:ascii="Times New Roman" w:hAnsi="Times New Roman" w:eastAsia="Times New Roman" w:cs="Times New Roman"/>
          <w:i/>
          <w:iCs/>
          <w:sz w:val="24"/>
          <w:szCs w:val="24"/>
          <w:lang w:eastAsia="fr-FR"/>
        </w:rPr>
        <w:t>The impact of perceived ease of use and perceived usefulness on students’ behavioral intention in e-learning environments.</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Interactive Learning Environments, 29</w:t>
      </w:r>
      <w:r>
        <w:rPr>
          <w:rFonts w:ascii="Times New Roman" w:hAnsi="Times New Roman" w:eastAsia="Times New Roman" w:cs="Times New Roman"/>
          <w:sz w:val="24"/>
          <w:szCs w:val="24"/>
          <w:lang w:eastAsia="fr-FR"/>
        </w:rPr>
        <w:t>(7), 1–15.</w:t>
      </w:r>
    </w:p>
    <w:p w14:paraId="1DBD027A">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shd w:val="clear" w:color="auto" w:fill="FFFFFF"/>
          <w:lang w:val="en-US"/>
        </w:rPr>
        <w:t xml:space="preserve">Jones, B.D. &amp; Tech, V. (2009). Motivating students to engage in learning: The MUSIC model of academic motivation. </w:t>
      </w:r>
      <w:r>
        <w:rPr>
          <w:rFonts w:ascii="Times New Roman" w:hAnsi="Times New Roman" w:cs="Times New Roman"/>
          <w:i/>
          <w:iCs/>
          <w:sz w:val="24"/>
          <w:szCs w:val="24"/>
          <w:shd w:val="clear" w:color="auto" w:fill="FFFFFF"/>
          <w:lang w:val="en-US"/>
        </w:rPr>
        <w:t>International Journal of Teaching and Learning in Higher Education</w:t>
      </w:r>
      <w:r>
        <w:rPr>
          <w:rFonts w:ascii="Times New Roman" w:hAnsi="Times New Roman" w:cs="Times New Roman"/>
          <w:sz w:val="24"/>
          <w:szCs w:val="24"/>
          <w:shd w:val="clear" w:color="auto" w:fill="FFFFFF"/>
          <w:lang w:val="en-US"/>
        </w:rPr>
        <w:t>, 272-285</w:t>
      </w:r>
    </w:p>
    <w:p w14:paraId="752F6CDC">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Kabanda, M. (2025). Artificial intelligence integration in higher education: Enhancing academic processes and leadership dynamics. </w:t>
      </w:r>
      <w:r>
        <w:rPr>
          <w:rStyle w:val="6"/>
          <w:rFonts w:ascii="Times New Roman" w:hAnsi="Times New Roman" w:cs="Times New Roman"/>
          <w:sz w:val="24"/>
          <w:szCs w:val="24"/>
        </w:rPr>
        <w:t>Journal of Effective Teaching Methods (JETM), 3</w:t>
      </w:r>
      <w:r>
        <w:rPr>
          <w:rFonts w:ascii="Times New Roman" w:hAnsi="Times New Roman" w:cs="Times New Roman"/>
          <w:sz w:val="24"/>
          <w:szCs w:val="24"/>
        </w:rPr>
        <w:t>(1).</w:t>
      </w:r>
    </w:p>
    <w:p w14:paraId="63EEFC11">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Kautz, T., Heckman, J. J., Diris, R., ter Weel, B., &amp; Borghans, L. (2014). </w:t>
      </w:r>
      <w:r>
        <w:rPr>
          <w:rStyle w:val="6"/>
          <w:rFonts w:ascii="Times New Roman" w:hAnsi="Times New Roman" w:cs="Times New Roman"/>
          <w:sz w:val="24"/>
          <w:szCs w:val="24"/>
        </w:rPr>
        <w:t>Fostering and measuring skills: Improving cognitive and non-cognitive skills to promote lifetime success</w:t>
      </w:r>
      <w:r>
        <w:rPr>
          <w:rFonts w:ascii="Times New Roman" w:hAnsi="Times New Roman" w:cs="Times New Roman"/>
          <w:sz w:val="24"/>
          <w:szCs w:val="24"/>
        </w:rPr>
        <w:t xml:space="preserve"> (Working Paper No. 20749). National Bureau of Economic.</w:t>
      </w:r>
    </w:p>
    <w:p w14:paraId="6128F9AB">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 Kim, D., &amp; Lee, Y. (2022). </w:t>
      </w:r>
      <w:r>
        <w:rPr>
          <w:rFonts w:ascii="Times New Roman" w:hAnsi="Times New Roman" w:eastAsia="Times New Roman" w:cs="Times New Roman"/>
          <w:i/>
          <w:iCs/>
          <w:sz w:val="24"/>
          <w:szCs w:val="24"/>
          <w:lang w:eastAsia="fr-FR"/>
        </w:rPr>
        <w:t>Digital engagement and learning satisfaction in hybrid education.</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Interactive Learning Environments, 30</w:t>
      </w:r>
      <w:r>
        <w:rPr>
          <w:rFonts w:ascii="Times New Roman" w:hAnsi="Times New Roman" w:eastAsia="Times New Roman" w:cs="Times New Roman"/>
          <w:sz w:val="24"/>
          <w:szCs w:val="24"/>
          <w:lang w:eastAsia="fr-FR"/>
        </w:rPr>
        <w:t>(5), 852–867.</w:t>
      </w:r>
    </w:p>
    <w:p w14:paraId="4880A5B2">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Kim, J., &amp; Lee, S. (2022). </w:t>
      </w:r>
      <w:r>
        <w:rPr>
          <w:rFonts w:ascii="Times New Roman" w:hAnsi="Times New Roman" w:eastAsia="Times New Roman" w:cs="Times New Roman"/>
          <w:i/>
          <w:iCs/>
          <w:sz w:val="24"/>
          <w:szCs w:val="24"/>
          <w:lang w:eastAsia="fr-FR"/>
        </w:rPr>
        <w:t>Digital engagement and student success in online learning environments: Evidence from post-pandemic higher education.</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Computers &amp; Education, 185</w:t>
      </w:r>
      <w:r>
        <w:rPr>
          <w:rFonts w:ascii="Times New Roman" w:hAnsi="Times New Roman" w:eastAsia="Times New Roman" w:cs="Times New Roman"/>
          <w:sz w:val="24"/>
          <w:szCs w:val="24"/>
          <w:lang w:eastAsia="fr-FR"/>
        </w:rPr>
        <w:t>, 104498.</w:t>
      </w:r>
    </w:p>
    <w:p w14:paraId="6EC36CA4">
      <w:pPr>
        <w:spacing w:before="120"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Kumar, A., Hansson, A., Huisken, J., and Corporaal, H. (2008), An FPGA design flow for reconfigurable network-based multiprocessor systems on chip. </w:t>
      </w:r>
      <w:r>
        <w:rPr>
          <w:rFonts w:ascii="Times New Roman" w:hAnsi="Times New Roman" w:cs="Times New Roman"/>
          <w:i/>
          <w:iCs/>
          <w:sz w:val="24"/>
          <w:szCs w:val="24"/>
          <w:lang w:val="en-US"/>
        </w:rPr>
        <w:t>ACM Transactions on Design Automation of Electronic Systems</w:t>
      </w:r>
      <w:r>
        <w:rPr>
          <w:rFonts w:ascii="Times New Roman" w:hAnsi="Times New Roman" w:cs="Times New Roman"/>
          <w:sz w:val="24"/>
          <w:szCs w:val="24"/>
          <w:lang w:val="en-US"/>
        </w:rPr>
        <w:t>, 13(3), 40</w:t>
      </w:r>
    </w:p>
    <w:p w14:paraId="3CCF5CB8">
      <w:pPr>
        <w:spacing w:before="120"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Kumar, B. A., and Chand, S. S. (2019). Mobile learning adoption: a systematic review. </w:t>
      </w:r>
      <w:r>
        <w:rPr>
          <w:rFonts w:ascii="Times New Roman" w:hAnsi="Times New Roman" w:cs="Times New Roman"/>
          <w:i/>
          <w:iCs/>
          <w:sz w:val="24"/>
          <w:szCs w:val="24"/>
          <w:lang w:val="en-US"/>
        </w:rPr>
        <w:t>Education and Information Technology,</w:t>
      </w:r>
      <w:r>
        <w:rPr>
          <w:rFonts w:ascii="Times New Roman" w:hAnsi="Times New Roman" w:cs="Times New Roman"/>
          <w:sz w:val="24"/>
          <w:szCs w:val="24"/>
          <w:lang w:val="en-US"/>
        </w:rPr>
        <w:t>24, 471–487.</w:t>
      </w:r>
    </w:p>
    <w:p w14:paraId="0ACE86FB">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Kumar, V., Nayak, K. P., &amp;Bhinder, H. S. (2021). The Technology Acceptance Model and Learning Management System: A Study on Undergraduate Tourism and Hospitality Students. </w:t>
      </w:r>
      <w:r>
        <w:rPr>
          <w:rFonts w:ascii="Times New Roman" w:hAnsi="Times New Roman" w:eastAsia="Times New Roman" w:cs="Times New Roman"/>
          <w:i/>
          <w:iCs/>
          <w:sz w:val="24"/>
          <w:szCs w:val="24"/>
          <w:lang w:val="en-US" w:eastAsia="fr-FR"/>
        </w:rPr>
        <w:t>European Journal of Interdisciplinary Studies, 13</w:t>
      </w:r>
      <w:r>
        <w:rPr>
          <w:rFonts w:ascii="Times New Roman" w:hAnsi="Times New Roman" w:eastAsia="Times New Roman" w:cs="Times New Roman"/>
          <w:sz w:val="24"/>
          <w:szCs w:val="24"/>
          <w:lang w:val="en-US" w:eastAsia="fr-FR"/>
        </w:rPr>
        <w:t>(2), 48-61</w:t>
      </w:r>
    </w:p>
    <w:p w14:paraId="4F61B65B">
      <w:pPr>
        <w:tabs>
          <w:tab w:val="left" w:pos="709"/>
        </w:tabs>
        <w:spacing w:after="0" w:line="240" w:lineRule="auto"/>
        <w:jc w:val="both"/>
        <w:rPr>
          <w:rFonts w:ascii="Times New Roman" w:hAnsi="Times New Roman" w:cs="Times New Roman"/>
          <w:i/>
          <w:iCs/>
          <w:sz w:val="24"/>
          <w:szCs w:val="24"/>
        </w:rPr>
      </w:pPr>
      <w:r>
        <w:rPr>
          <w:rStyle w:val="5"/>
          <w:rFonts w:ascii="Times New Roman" w:hAnsi="Times New Roman" w:cs="Times New Roman"/>
          <w:b w:val="0"/>
          <w:bCs w:val="0"/>
          <w:sz w:val="24"/>
          <w:szCs w:val="24"/>
        </w:rPr>
        <w:t>López-Serrano, A., McGowan, N., Moreno-Ger, P., &amp; Burgos, D</w:t>
      </w:r>
      <w:r>
        <w:rPr>
          <w:rStyle w:val="5"/>
          <w:rFonts w:ascii="Times New Roman" w:hAnsi="Times New Roman" w:cs="Times New Roman"/>
          <w:sz w:val="24"/>
          <w:szCs w:val="24"/>
        </w:rPr>
        <w:t>.</w:t>
      </w:r>
      <w:r>
        <w:rPr>
          <w:rFonts w:ascii="Times New Roman" w:hAnsi="Times New Roman" w:cs="Times New Roman"/>
          <w:sz w:val="24"/>
          <w:szCs w:val="24"/>
        </w:rPr>
        <w:t xml:space="preserve"> (2022). </w:t>
      </w:r>
      <w:r>
        <w:rPr>
          <w:rStyle w:val="6"/>
          <w:rFonts w:ascii="Times New Roman" w:hAnsi="Times New Roman" w:cs="Times New Roman"/>
          <w:i w:val="0"/>
          <w:iCs w:val="0"/>
          <w:sz w:val="24"/>
          <w:szCs w:val="24"/>
        </w:rPr>
        <w:t>Teaching soft skills in higher education through serious games: Validation of the Compete! gamification.</w:t>
      </w:r>
      <w:r>
        <w:rPr>
          <w:rFonts w:ascii="Times New Roman" w:hAnsi="Times New Roman" w:cs="Times New Roman"/>
          <w:i/>
          <w:iCs/>
          <w:sz w:val="24"/>
          <w:szCs w:val="24"/>
        </w:rPr>
        <w:t xml:space="preserve"> </w:t>
      </w:r>
      <w:r>
        <w:rPr>
          <w:rStyle w:val="6"/>
          <w:rFonts w:ascii="Times New Roman" w:hAnsi="Times New Roman" w:cs="Times New Roman"/>
          <w:i w:val="0"/>
          <w:iCs w:val="0"/>
          <w:sz w:val="24"/>
          <w:szCs w:val="24"/>
        </w:rPr>
        <w:t>Smart Learning Environments, 9</w:t>
      </w:r>
      <w:r>
        <w:rPr>
          <w:rFonts w:ascii="Times New Roman" w:hAnsi="Times New Roman" w:cs="Times New Roman"/>
          <w:i/>
          <w:iCs/>
          <w:sz w:val="24"/>
          <w:szCs w:val="24"/>
        </w:rPr>
        <w:t>(1), 1–22.</w:t>
      </w:r>
    </w:p>
    <w:p w14:paraId="6116B643">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Meenakshi, S. (2009). How important are soft skills from the recruiter’s perspective. </w:t>
      </w:r>
      <w:r>
        <w:rPr>
          <w:rFonts w:ascii="Times New Roman" w:hAnsi="Times New Roman" w:eastAsia="Times New Roman" w:cs="Times New Roman"/>
          <w:i/>
          <w:iCs/>
          <w:sz w:val="24"/>
          <w:szCs w:val="24"/>
          <w:lang w:val="en-US" w:eastAsia="fr-FR"/>
        </w:rPr>
        <w:t>ICFAI Journal of soft skills</w:t>
      </w:r>
      <w:r>
        <w:rPr>
          <w:rFonts w:ascii="Times New Roman" w:hAnsi="Times New Roman" w:eastAsia="Times New Roman" w:cs="Times New Roman"/>
          <w:sz w:val="24"/>
          <w:szCs w:val="24"/>
          <w:lang w:val="en-US" w:eastAsia="fr-FR"/>
        </w:rPr>
        <w:t>, 3(2), 1-19</w:t>
      </w:r>
    </w:p>
    <w:p w14:paraId="0602CA43">
      <w:pPr>
        <w:tabs>
          <w:tab w:val="left" w:pos="709"/>
        </w:tabs>
        <w:spacing w:after="0" w:line="240" w:lineRule="auto"/>
        <w:jc w:val="both"/>
        <w:rPr>
          <w:rFonts w:ascii="Times New Roman" w:hAnsi="Times New Roman" w:eastAsia="Times New Roman" w:cs="Times New Roman"/>
          <w:b/>
          <w:bCs/>
          <w:i/>
          <w:iCs/>
          <w:sz w:val="24"/>
          <w:szCs w:val="24"/>
          <w:lang w:eastAsia="fr-FR"/>
        </w:rPr>
      </w:pPr>
      <w:r>
        <w:rPr>
          <w:rStyle w:val="5"/>
          <w:rFonts w:ascii="Times New Roman" w:hAnsi="Times New Roman" w:cs="Times New Roman"/>
          <w:b w:val="0"/>
          <w:bCs w:val="0"/>
          <w:sz w:val="24"/>
          <w:szCs w:val="24"/>
        </w:rPr>
        <w:t>Moonasamy, R. A., &amp; Naidoo, G. M</w:t>
      </w:r>
      <w:r>
        <w:rPr>
          <w:rStyle w:val="5"/>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(2022).</w:t>
      </w:r>
      <w:r>
        <w:rPr>
          <w:rFonts w:ascii="Times New Roman" w:hAnsi="Times New Roman" w:cs="Times New Roman"/>
          <w:i/>
          <w:iCs/>
          <w:sz w:val="24"/>
          <w:szCs w:val="24"/>
        </w:rPr>
        <w:t xml:space="preserve"> </w:t>
      </w:r>
      <w:r>
        <w:rPr>
          <w:rStyle w:val="6"/>
          <w:rFonts w:ascii="Times New Roman" w:hAnsi="Times New Roman" w:cs="Times New Roman"/>
          <w:i w:val="0"/>
          <w:iCs w:val="0"/>
          <w:sz w:val="24"/>
          <w:szCs w:val="24"/>
        </w:rPr>
        <w:t>Digital learning: Challenges experienced by South African university students during the COVID-19 pandemic.</w:t>
      </w:r>
      <w:r>
        <w:rPr>
          <w:rFonts w:ascii="Times New Roman" w:hAnsi="Times New Roman" w:cs="Times New Roman"/>
          <w:i/>
          <w:iCs/>
          <w:sz w:val="24"/>
          <w:szCs w:val="24"/>
        </w:rPr>
        <w:t xml:space="preserve"> </w:t>
      </w:r>
      <w:r>
        <w:rPr>
          <w:rStyle w:val="6"/>
          <w:rFonts w:ascii="Times New Roman" w:hAnsi="Times New Roman" w:cs="Times New Roman"/>
          <w:i w:val="0"/>
          <w:iCs w:val="0"/>
          <w:sz w:val="24"/>
          <w:szCs w:val="24"/>
        </w:rPr>
        <w:t>Independent Journal of Teaching and Learning, 17</w:t>
      </w:r>
      <w:r>
        <w:rPr>
          <w:rFonts w:ascii="Times New Roman" w:hAnsi="Times New Roman" w:cs="Times New Roman"/>
          <w:sz w:val="24"/>
          <w:szCs w:val="24"/>
        </w:rPr>
        <w:t xml:space="preserve"> (2),</w:t>
      </w:r>
      <w:r>
        <w:rPr>
          <w:rFonts w:ascii="Times New Roman" w:hAnsi="Times New Roman" w:cs="Times New Roman"/>
          <w:i/>
          <w:iCs/>
          <w:sz w:val="24"/>
          <w:szCs w:val="24"/>
        </w:rPr>
        <w:t xml:space="preserve"> 76–90.</w:t>
      </w:r>
    </w:p>
    <w:p w14:paraId="53426372">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lang w:val="en-US"/>
        </w:rPr>
        <w:t xml:space="preserve">Morrar, R., Arman, H., &amp;Mous, S. (2017). The fourth industrial revolution (Industry 4.0): A social innovation perspective, </w:t>
      </w:r>
      <w:r>
        <w:rPr>
          <w:rFonts w:ascii="Times New Roman" w:hAnsi="Times New Roman" w:cs="Times New Roman"/>
          <w:i/>
          <w:iCs/>
          <w:sz w:val="24"/>
          <w:szCs w:val="24"/>
          <w:lang w:val="en-US"/>
        </w:rPr>
        <w:t>Technology Innovation Management Review</w:t>
      </w:r>
      <w:r>
        <w:rPr>
          <w:rFonts w:ascii="Times New Roman" w:hAnsi="Times New Roman" w:cs="Times New Roman"/>
          <w:sz w:val="24"/>
          <w:szCs w:val="24"/>
          <w:lang w:val="en-US"/>
        </w:rPr>
        <w:t>, 7(11), 11–20.</w:t>
      </w:r>
    </w:p>
    <w:p w14:paraId="2659D84A">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Niniss, Y. (2022). Les déterminants de l’acceptabilité de l’e-learning au sein de l’administration publique au Maroc. </w:t>
      </w:r>
      <w:r>
        <w:rPr>
          <w:rFonts w:ascii="Times New Roman" w:hAnsi="Times New Roman" w:eastAsia="Times New Roman" w:cs="Times New Roman"/>
          <w:i/>
          <w:iCs/>
          <w:sz w:val="24"/>
          <w:szCs w:val="24"/>
          <w:lang w:eastAsia="fr-FR"/>
        </w:rPr>
        <w:t>Revue Internationale des Sciences de Gestion</w:t>
      </w:r>
      <w:r>
        <w:rPr>
          <w:rFonts w:ascii="Times New Roman" w:hAnsi="Times New Roman" w:eastAsia="Times New Roman" w:cs="Times New Roman"/>
          <w:sz w:val="24"/>
          <w:szCs w:val="24"/>
          <w:lang w:eastAsia="fr-FR"/>
        </w:rPr>
        <w:t>, 5(2), 945-970</w:t>
      </w:r>
    </w:p>
    <w:p w14:paraId="67E1FEA5">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Ouweneel, E., Le Blanc, P. M., &amp; Schaufeli, W. B. (2013). </w:t>
      </w:r>
      <w:r>
        <w:rPr>
          <w:rFonts w:ascii="Times New Roman" w:hAnsi="Times New Roman" w:eastAsia="Times New Roman" w:cs="Times New Roman"/>
          <w:i/>
          <w:iCs/>
          <w:sz w:val="24"/>
          <w:szCs w:val="24"/>
          <w:lang w:eastAsia="fr-FR"/>
        </w:rPr>
        <w:t>Do-it-yourself: An online positive psychology intervention to promote positive emotions, self-efficacy, and engagement at work.</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Career Development International, 18</w:t>
      </w:r>
      <w:r>
        <w:rPr>
          <w:rFonts w:ascii="Times New Roman" w:hAnsi="Times New Roman" w:eastAsia="Times New Roman" w:cs="Times New Roman"/>
          <w:sz w:val="24"/>
          <w:szCs w:val="24"/>
          <w:lang w:eastAsia="fr-FR"/>
        </w:rPr>
        <w:t>(2), 173–195.</w:t>
      </w:r>
    </w:p>
    <w:p w14:paraId="35BE6AF8">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Ouweneel, E., Schaufeli, W.B. &amp;Le Blanc, P.M. (2013). Believe, and you will achieve: Changes over time in self-efficacy, engagement and performance. </w:t>
      </w:r>
      <w:r>
        <w:rPr>
          <w:rFonts w:ascii="Times New Roman" w:hAnsi="Times New Roman" w:eastAsia="Times New Roman" w:cs="Times New Roman"/>
          <w:i/>
          <w:iCs/>
          <w:sz w:val="24"/>
          <w:szCs w:val="24"/>
          <w:lang w:val="en-US" w:eastAsia="fr-FR"/>
        </w:rPr>
        <w:t>Applied Psychology: Health and Well-being</w:t>
      </w:r>
      <w:r>
        <w:rPr>
          <w:rFonts w:ascii="Times New Roman" w:hAnsi="Times New Roman" w:eastAsia="Times New Roman" w:cs="Times New Roman"/>
          <w:sz w:val="24"/>
          <w:szCs w:val="24"/>
          <w:lang w:val="en-US" w:eastAsia="fr-FR"/>
        </w:rPr>
        <w:t>, 5(2), 225-247</w:t>
      </w:r>
    </w:p>
    <w:p w14:paraId="695F4F1C">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shd w:val="clear" w:color="auto" w:fill="FFFFFF"/>
          <w:lang w:val="en-US"/>
        </w:rPr>
        <w:t>Reeve, J. (2013). How students create motivationally supportive learning environments for themselves: The concept of agentic engagement. </w:t>
      </w:r>
      <w:r>
        <w:rPr>
          <w:rStyle w:val="6"/>
          <w:rFonts w:ascii="Times New Roman" w:hAnsi="Times New Roman" w:cs="Times New Roman"/>
          <w:sz w:val="24"/>
          <w:szCs w:val="24"/>
          <w:shd w:val="clear" w:color="auto" w:fill="FFFFFF"/>
          <w:lang w:val="en-US"/>
        </w:rPr>
        <w:t>Journal of Educational Psychology, 105</w:t>
      </w:r>
      <w:r>
        <w:rPr>
          <w:rFonts w:ascii="Times New Roman" w:hAnsi="Times New Roman" w:cs="Times New Roman"/>
          <w:sz w:val="24"/>
          <w:szCs w:val="24"/>
          <w:shd w:val="clear" w:color="auto" w:fill="FFFFFF"/>
          <w:lang w:val="en-US"/>
        </w:rPr>
        <w:t>(3), 579–595 </w:t>
      </w:r>
    </w:p>
    <w:p w14:paraId="159DEA2C">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Reeve, J. (2013). </w:t>
      </w:r>
      <w:r>
        <w:rPr>
          <w:rFonts w:ascii="Times New Roman" w:hAnsi="Times New Roman" w:eastAsia="Times New Roman" w:cs="Times New Roman"/>
          <w:i/>
          <w:iCs/>
          <w:sz w:val="24"/>
          <w:szCs w:val="24"/>
          <w:lang w:eastAsia="fr-FR"/>
        </w:rPr>
        <w:t>How students create motivationally supportive learning environments for themselves: The concept of agentic engagement.</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Journal of Educational Psychology, 105</w:t>
      </w:r>
      <w:r>
        <w:rPr>
          <w:rFonts w:ascii="Times New Roman" w:hAnsi="Times New Roman" w:eastAsia="Times New Roman" w:cs="Times New Roman"/>
          <w:sz w:val="24"/>
          <w:szCs w:val="24"/>
          <w:lang w:eastAsia="fr-FR"/>
        </w:rPr>
        <w:t>(3), 579–595.</w:t>
      </w:r>
    </w:p>
    <w:p w14:paraId="586FEA22">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Romanenko, Y. N., Solodovnikova, E., &amp; Maksimenko, N. (2023). </w:t>
      </w:r>
      <w:r>
        <w:rPr>
          <w:rStyle w:val="6"/>
          <w:rFonts w:ascii="Times New Roman" w:hAnsi="Times New Roman" w:cs="Times New Roman"/>
          <w:i w:val="0"/>
          <w:iCs w:val="0"/>
          <w:sz w:val="24"/>
          <w:szCs w:val="24"/>
        </w:rPr>
        <w:t>Microlearning as a new method of teaching soft skills to university students</w:t>
      </w:r>
      <w:r>
        <w:rPr>
          <w:rFonts w:ascii="Times New Roman" w:hAnsi="Times New Roman" w:cs="Times New Roman"/>
          <w:b/>
          <w:bCs/>
          <w:i/>
          <w:iCs/>
          <w:sz w:val="24"/>
          <w:szCs w:val="24"/>
        </w:rPr>
        <w:t>.</w:t>
      </w:r>
      <w:r>
        <w:rPr>
          <w:rFonts w:ascii="Times New Roman" w:hAnsi="Times New Roman" w:cs="Times New Roman"/>
          <w:b/>
          <w:bCs/>
          <w:sz w:val="24"/>
          <w:szCs w:val="24"/>
        </w:rPr>
        <w:t xml:space="preserve"> </w:t>
      </w:r>
      <w:r>
        <w:rPr>
          <w:rStyle w:val="5"/>
          <w:rFonts w:ascii="Times New Roman" w:hAnsi="Times New Roman" w:cs="Times New Roman"/>
          <w:b w:val="0"/>
          <w:bCs w:val="0"/>
          <w:sz w:val="24"/>
          <w:szCs w:val="24"/>
        </w:rPr>
        <w:t>Frontiers in Education, 8</w:t>
      </w:r>
      <w:r>
        <w:rPr>
          <w:rFonts w:ascii="Times New Roman" w:hAnsi="Times New Roman" w:cs="Times New Roman"/>
          <w:b/>
          <w:bCs/>
          <w:sz w:val="24"/>
          <w:szCs w:val="24"/>
        </w:rPr>
        <w:t>,</w:t>
      </w:r>
      <w:r>
        <w:rPr>
          <w:rFonts w:ascii="Times New Roman" w:hAnsi="Times New Roman" w:cs="Times New Roman"/>
          <w:sz w:val="24"/>
          <w:szCs w:val="24"/>
        </w:rPr>
        <w:t xml:space="preserve"> Article 1177516.</w:t>
      </w:r>
    </w:p>
    <w:p w14:paraId="02242DE1">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Sato, S. N., Moreno, E. C., Rubio-Zarapuz, A., Yañez-Sepulveda, R., Tornero-Aguilera, J. F., Dalamitros, A. A., &amp; Clemente-Suárez, V. J. (2024). </w:t>
      </w:r>
      <w:r>
        <w:rPr>
          <w:rStyle w:val="6"/>
          <w:rFonts w:ascii="Times New Roman" w:hAnsi="Times New Roman" w:cs="Times New Roman"/>
          <w:sz w:val="24"/>
          <w:szCs w:val="24"/>
        </w:rPr>
        <w:t>Navigating the new normal: Adapting online and distance learning in the post-pandemic era</w:t>
      </w:r>
      <w:r>
        <w:rPr>
          <w:rFonts w:ascii="Times New Roman" w:hAnsi="Times New Roman" w:cs="Times New Roman"/>
          <w:sz w:val="24"/>
          <w:szCs w:val="24"/>
        </w:rPr>
        <w:t xml:space="preserve">. </w:t>
      </w:r>
      <w:r>
        <w:rPr>
          <w:rStyle w:val="6"/>
          <w:rFonts w:ascii="Times New Roman" w:hAnsi="Times New Roman" w:cs="Times New Roman"/>
          <w:sz w:val="24"/>
          <w:szCs w:val="24"/>
        </w:rPr>
        <w:t>Education Sciences, 14</w:t>
      </w:r>
      <w:r>
        <w:rPr>
          <w:rFonts w:ascii="Times New Roman" w:hAnsi="Times New Roman" w:cs="Times New Roman"/>
          <w:sz w:val="24"/>
          <w:szCs w:val="24"/>
        </w:rPr>
        <w:t>(1), 19.</w:t>
      </w:r>
    </w:p>
    <w:p w14:paraId="1E9C9141">
      <w:pPr>
        <w:pStyle w:val="8"/>
        <w:jc w:val="both"/>
      </w:pPr>
      <w:r>
        <w:t xml:space="preserve">Scheuring, F., &amp; Thompson, J. (2025). Enhancing graduate employability – exploring the influence of experiential simulation learning on life skill development. </w:t>
      </w:r>
      <w:r>
        <w:rPr>
          <w:rStyle w:val="6"/>
        </w:rPr>
        <w:t>Studies in Higher Education, 50</w:t>
      </w:r>
      <w:r>
        <w:t>(2), 256-270.</w:t>
      </w:r>
    </w:p>
    <w:p w14:paraId="4777A005">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 </w:t>
      </w:r>
      <w:r>
        <w:rPr>
          <w:rFonts w:ascii="Times New Roman" w:hAnsi="Times New Roman" w:cs="Times New Roman"/>
          <w:sz w:val="24"/>
          <w:szCs w:val="24"/>
        </w:rPr>
        <w:t xml:space="preserve">Sharif, A., &amp; Raza, S. A. (2017). </w:t>
      </w:r>
      <w:r>
        <w:rPr>
          <w:rStyle w:val="6"/>
          <w:rFonts w:ascii="Times New Roman" w:hAnsi="Times New Roman" w:cs="Times New Roman"/>
          <w:sz w:val="24"/>
          <w:szCs w:val="24"/>
        </w:rPr>
        <w:t>The influence of hedonic motivation, self-efficacy, trust and habit on adoption of internet banking: A case of developing country</w:t>
      </w:r>
      <w:r>
        <w:rPr>
          <w:rFonts w:ascii="Times New Roman" w:hAnsi="Times New Roman" w:cs="Times New Roman"/>
          <w:sz w:val="24"/>
          <w:szCs w:val="24"/>
        </w:rPr>
        <w:t xml:space="preserve">. </w:t>
      </w:r>
      <w:r>
        <w:rPr>
          <w:rStyle w:val="6"/>
          <w:rFonts w:ascii="Times New Roman" w:hAnsi="Times New Roman" w:cs="Times New Roman"/>
          <w:sz w:val="24"/>
          <w:szCs w:val="24"/>
        </w:rPr>
        <w:t>International Journal of Electronic Customer Relationship Management, 11</w:t>
      </w:r>
      <w:r>
        <w:rPr>
          <w:rFonts w:ascii="Times New Roman" w:hAnsi="Times New Roman" w:cs="Times New Roman"/>
          <w:sz w:val="24"/>
          <w:szCs w:val="24"/>
        </w:rPr>
        <w:t>(1), 1–19.</w:t>
      </w:r>
    </w:p>
    <w:p w14:paraId="0FCC434F">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Shih, C.-C., &amp;Gamon, J. (2001). Web-based learning: Relationships among student motivation, attitude, learning styles, and achievement. </w:t>
      </w:r>
      <w:r>
        <w:rPr>
          <w:rFonts w:ascii="Times New Roman" w:hAnsi="Times New Roman" w:eastAsia="Times New Roman" w:cs="Times New Roman"/>
          <w:i/>
          <w:iCs/>
          <w:sz w:val="24"/>
          <w:szCs w:val="24"/>
          <w:lang w:val="en-US" w:eastAsia="fr-FR"/>
        </w:rPr>
        <w:t>Journal of Agricultural Education, 42</w:t>
      </w:r>
      <w:r>
        <w:rPr>
          <w:rFonts w:ascii="Times New Roman" w:hAnsi="Times New Roman" w:eastAsia="Times New Roman" w:cs="Times New Roman"/>
          <w:sz w:val="24"/>
          <w:szCs w:val="24"/>
          <w:lang w:val="en-US" w:eastAsia="fr-FR"/>
        </w:rPr>
        <w:t>(4), 32-40</w:t>
      </w:r>
    </w:p>
    <w:p w14:paraId="15380FEA">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eastAsia="fr-FR"/>
        </w:rPr>
        <w:t xml:space="preserve">Siddiqui, M. J., &amp;Lokhande, V. (2019). </w:t>
      </w:r>
      <w:r>
        <w:rPr>
          <w:rFonts w:ascii="Times New Roman" w:hAnsi="Times New Roman" w:eastAsia="Times New Roman" w:cs="Times New Roman"/>
          <w:sz w:val="24"/>
          <w:szCs w:val="24"/>
          <w:lang w:val="en-US" w:eastAsia="fr-FR"/>
        </w:rPr>
        <w:t xml:space="preserve">An overview of employability skills for students of professional educational institutions. </w:t>
      </w:r>
      <w:r>
        <w:rPr>
          <w:rFonts w:ascii="Times New Roman" w:hAnsi="Times New Roman" w:eastAsia="Times New Roman" w:cs="Times New Roman"/>
          <w:i/>
          <w:iCs/>
          <w:sz w:val="24"/>
          <w:szCs w:val="24"/>
          <w:lang w:val="en-US" w:eastAsia="fr-FR"/>
        </w:rPr>
        <w:t>Journal of Emerging Technologies and Innovative Research (JETIR), 6</w:t>
      </w:r>
      <w:r>
        <w:rPr>
          <w:rFonts w:ascii="Times New Roman" w:hAnsi="Times New Roman" w:eastAsia="Times New Roman" w:cs="Times New Roman"/>
          <w:sz w:val="24"/>
          <w:szCs w:val="24"/>
          <w:lang w:val="en-US" w:eastAsia="fr-FR"/>
        </w:rPr>
        <w:t>(1), 1-8</w:t>
      </w:r>
    </w:p>
    <w:p w14:paraId="1DBFAFB1">
      <w:pPr>
        <w:pStyle w:val="8"/>
        <w:jc w:val="both"/>
      </w:pPr>
      <w:r>
        <w:t xml:space="preserve"> Succi, C., &amp; Canovi, M. (2020). </w:t>
      </w:r>
      <w:r>
        <w:rPr>
          <w:rStyle w:val="6"/>
        </w:rPr>
        <w:t>Soft skills to enhance graduate employability: comparing students and employers’ perceptions.</w:t>
      </w:r>
      <w:r>
        <w:t xml:space="preserve"> </w:t>
      </w:r>
      <w:r>
        <w:rPr>
          <w:rStyle w:val="6"/>
        </w:rPr>
        <w:t>Studies in Higher Education.</w:t>
      </w:r>
    </w:p>
    <w:p w14:paraId="25D371D0">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Succi, C., &amp; Canovi, M. (2020). </w:t>
      </w:r>
      <w:r>
        <w:rPr>
          <w:rFonts w:ascii="Times New Roman" w:hAnsi="Times New Roman" w:eastAsia="Times New Roman" w:cs="Times New Roman"/>
          <w:i/>
          <w:iCs/>
          <w:sz w:val="24"/>
          <w:szCs w:val="24"/>
          <w:lang w:eastAsia="fr-FR"/>
        </w:rPr>
        <w:t>Soft skills to enhance graduate employability: Comparing students and employers’ perceptions.</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Studies in Higher Education, 45</w:t>
      </w:r>
      <w:r>
        <w:rPr>
          <w:rFonts w:ascii="Times New Roman" w:hAnsi="Times New Roman" w:eastAsia="Times New Roman" w:cs="Times New Roman"/>
          <w:sz w:val="24"/>
          <w:szCs w:val="24"/>
          <w:lang w:eastAsia="fr-FR"/>
        </w:rPr>
        <w:t>(9), 1834–1847.</w:t>
      </w:r>
    </w:p>
    <w:p w14:paraId="22F0F3CE">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Tahar, A., Riyadh, H.A., Sofyani, H. &amp;Purnomo, W.E. (2020). Perceived ease of use, perceived usefulness, perceived security and intention to use E-filing: The role of Technology readiness. </w:t>
      </w:r>
      <w:r>
        <w:rPr>
          <w:rFonts w:ascii="Times New Roman" w:hAnsi="Times New Roman" w:eastAsia="Times New Roman" w:cs="Times New Roman"/>
          <w:i/>
          <w:iCs/>
          <w:sz w:val="24"/>
          <w:szCs w:val="24"/>
          <w:lang w:val="en-US" w:eastAsia="fr-FR"/>
        </w:rPr>
        <w:t>Journal of Asian Finance, Economics and Business</w:t>
      </w:r>
      <w:r>
        <w:rPr>
          <w:rFonts w:ascii="Times New Roman" w:hAnsi="Times New Roman" w:eastAsia="Times New Roman" w:cs="Times New Roman"/>
          <w:sz w:val="24"/>
          <w:szCs w:val="24"/>
          <w:lang w:val="en-US" w:eastAsia="fr-FR"/>
        </w:rPr>
        <w:t>, 7(9), 537-547</w:t>
      </w:r>
    </w:p>
    <w:p w14:paraId="263A1CC8">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Tasgin, A., &amp; Coskun, G. (2018). </w:t>
      </w:r>
      <w:r>
        <w:rPr>
          <w:rStyle w:val="6"/>
          <w:rFonts w:ascii="Times New Roman" w:hAnsi="Times New Roman" w:cs="Times New Roman"/>
          <w:sz w:val="24"/>
          <w:szCs w:val="24"/>
        </w:rPr>
        <w:t>The Relationship between academic motivations and university students’ attitudes towards learning</w:t>
      </w:r>
      <w:r>
        <w:rPr>
          <w:rFonts w:ascii="Times New Roman" w:hAnsi="Times New Roman" w:cs="Times New Roman"/>
          <w:sz w:val="24"/>
          <w:szCs w:val="24"/>
        </w:rPr>
        <w:t xml:space="preserve">. </w:t>
      </w:r>
      <w:r>
        <w:rPr>
          <w:rStyle w:val="6"/>
          <w:rFonts w:ascii="Times New Roman" w:hAnsi="Times New Roman" w:cs="Times New Roman"/>
          <w:sz w:val="24"/>
          <w:szCs w:val="24"/>
        </w:rPr>
        <w:t>International Journal of Instruction, 11</w:t>
      </w:r>
      <w:r>
        <w:rPr>
          <w:rFonts w:ascii="Times New Roman" w:hAnsi="Times New Roman" w:cs="Times New Roman"/>
          <w:sz w:val="24"/>
          <w:szCs w:val="24"/>
        </w:rPr>
        <w:t>(4), 935–950.</w:t>
      </w:r>
    </w:p>
    <w:p w14:paraId="54366A6E">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 xml:space="preserve">Tasgin, A., &amp;Coskun, G. (2018). The relationship between academic motivations and university students' attitudes towards learning. </w:t>
      </w:r>
      <w:r>
        <w:rPr>
          <w:rFonts w:ascii="Times New Roman" w:hAnsi="Times New Roman" w:eastAsia="Times New Roman" w:cs="Times New Roman"/>
          <w:i/>
          <w:iCs/>
          <w:sz w:val="24"/>
          <w:szCs w:val="24"/>
          <w:lang w:eastAsia="fr-FR"/>
        </w:rPr>
        <w:t>International Journal of Instruction, 11</w:t>
      </w:r>
      <w:r>
        <w:rPr>
          <w:rFonts w:ascii="Times New Roman" w:hAnsi="Times New Roman" w:eastAsia="Times New Roman" w:cs="Times New Roman"/>
          <w:sz w:val="24"/>
          <w:szCs w:val="24"/>
          <w:lang w:eastAsia="fr-FR"/>
        </w:rPr>
        <w:t>(4), 935-950</w:t>
      </w:r>
    </w:p>
    <w:p w14:paraId="4D59A5E0">
      <w:pPr>
        <w:pStyle w:val="8"/>
        <w:jc w:val="both"/>
      </w:pPr>
      <w:r>
        <w:t xml:space="preserve">Urkia-Basterra, I., Imaz Agirre, A., &amp; Álvarez-Huerta, P. (2025). </w:t>
      </w:r>
      <w:r>
        <w:rPr>
          <w:rStyle w:val="6"/>
        </w:rPr>
        <w:t>Soft skills development in work-based learning: A systematic literature review</w:t>
      </w:r>
      <w:r>
        <w:t xml:space="preserve">. </w:t>
      </w:r>
      <w:r>
        <w:rPr>
          <w:rStyle w:val="6"/>
        </w:rPr>
        <w:t>Higher Education, Skills and Work-based Learning, 15</w:t>
      </w:r>
      <w:r>
        <w:t>(4), 740–757. Emerald Insight.</w:t>
      </w:r>
    </w:p>
    <w:p w14:paraId="628949AF">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Venkatesh, V., &amp; Davis, F. D. (2000). </w:t>
      </w:r>
      <w:r>
        <w:rPr>
          <w:rFonts w:ascii="Times New Roman" w:hAnsi="Times New Roman" w:eastAsia="Times New Roman" w:cs="Times New Roman"/>
          <w:i/>
          <w:iCs/>
          <w:sz w:val="24"/>
          <w:szCs w:val="24"/>
          <w:lang w:eastAsia="fr-FR"/>
        </w:rPr>
        <w:t>A theoretical extension of the technology acceptance model: Four longitudinal field studies.</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Management Science, 46</w:t>
      </w:r>
      <w:r>
        <w:rPr>
          <w:rFonts w:ascii="Times New Roman" w:hAnsi="Times New Roman" w:eastAsia="Times New Roman" w:cs="Times New Roman"/>
          <w:sz w:val="24"/>
          <w:szCs w:val="24"/>
          <w:lang w:eastAsia="fr-FR"/>
        </w:rPr>
        <w:t>(2), 186–204.</w:t>
      </w:r>
    </w:p>
    <w:p w14:paraId="6298DF56">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Venkatesh, V., Thong, J. Y. L., &amp; Xu, X. (2012). </w:t>
      </w:r>
      <w:r>
        <w:rPr>
          <w:rStyle w:val="6"/>
          <w:rFonts w:ascii="Times New Roman" w:hAnsi="Times New Roman" w:cs="Times New Roman"/>
          <w:sz w:val="24"/>
          <w:szCs w:val="24"/>
        </w:rPr>
        <w:t>Consumer acceptance and use of information technology: Extending the unified theory of acceptance and use of technology</w:t>
      </w:r>
      <w:r>
        <w:rPr>
          <w:rFonts w:ascii="Times New Roman" w:hAnsi="Times New Roman" w:cs="Times New Roman"/>
          <w:sz w:val="24"/>
          <w:szCs w:val="24"/>
        </w:rPr>
        <w:t xml:space="preserve">. </w:t>
      </w:r>
      <w:r>
        <w:rPr>
          <w:rStyle w:val="6"/>
          <w:rFonts w:ascii="Times New Roman" w:hAnsi="Times New Roman" w:cs="Times New Roman"/>
          <w:sz w:val="24"/>
          <w:szCs w:val="24"/>
        </w:rPr>
        <w:t>MIS Quarterly, 36</w:t>
      </w:r>
      <w:r>
        <w:rPr>
          <w:rFonts w:ascii="Times New Roman" w:hAnsi="Times New Roman" w:cs="Times New Roman"/>
          <w:sz w:val="24"/>
          <w:szCs w:val="24"/>
        </w:rPr>
        <w:t>(1), 157–178.</w:t>
      </w:r>
    </w:p>
    <w:p w14:paraId="02B06DA2">
      <w:pPr>
        <w:spacing w:before="120" w:after="120"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Venkatesh, V., Thong, J.Y.L. &amp; Xu, X. (2012). Consumer acceptance and Use of information technology : Extending the Unified Theory of Acceptance and Use of Technology. </w:t>
      </w:r>
      <w:r>
        <w:rPr>
          <w:rFonts w:ascii="Times New Roman" w:hAnsi="Times New Roman" w:eastAsia="Times New Roman" w:cs="Times New Roman"/>
          <w:i/>
          <w:iCs/>
          <w:sz w:val="24"/>
          <w:szCs w:val="24"/>
          <w:lang w:eastAsia="fr-FR"/>
        </w:rPr>
        <w:t>MIS Quarterly</w:t>
      </w:r>
      <w:r>
        <w:rPr>
          <w:rFonts w:ascii="Times New Roman" w:hAnsi="Times New Roman" w:eastAsia="Times New Roman" w:cs="Times New Roman"/>
          <w:sz w:val="24"/>
          <w:szCs w:val="24"/>
          <w:lang w:eastAsia="fr-FR"/>
        </w:rPr>
        <w:t>, 36(1), 157-178</w:t>
      </w:r>
    </w:p>
    <w:p w14:paraId="3B070DFE">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cs="Times New Roman"/>
          <w:sz w:val="24"/>
          <w:szCs w:val="24"/>
          <w:shd w:val="clear" w:color="auto" w:fill="FFFFFF"/>
        </w:rPr>
        <w:t xml:space="preserve">Yang, J.T. (2010) Antecedents and Consequences of Knowledge Sharing in International TouristHotels. </w:t>
      </w:r>
      <w:r>
        <w:rPr>
          <w:rFonts w:ascii="Times New Roman" w:hAnsi="Times New Roman" w:cs="Times New Roman"/>
          <w:i/>
          <w:iCs/>
          <w:sz w:val="24"/>
          <w:szCs w:val="24"/>
          <w:shd w:val="clear" w:color="auto" w:fill="FFFFFF"/>
        </w:rPr>
        <w:t>International Journal of Hospitality Management</w:t>
      </w:r>
      <w:r>
        <w:rPr>
          <w:rFonts w:ascii="Times New Roman" w:hAnsi="Times New Roman" w:cs="Times New Roman"/>
          <w:sz w:val="24"/>
          <w:szCs w:val="24"/>
          <w:shd w:val="clear" w:color="auto" w:fill="FFFFFF"/>
        </w:rPr>
        <w:t>, 29, 42-52.</w:t>
      </w:r>
    </w:p>
    <w:p w14:paraId="6E8B10FD">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cs="Times New Roman"/>
          <w:sz w:val="24"/>
          <w:szCs w:val="24"/>
        </w:rPr>
        <w:t xml:space="preserve">Zahn, E.-M., Schöbel, S., Saqr, M., &amp; Söllner, M. (2024). Mapping soft skills and further research directions for higher education: A bibliometric approach with structural topic modelling. </w:t>
      </w:r>
      <w:r>
        <w:rPr>
          <w:rStyle w:val="6"/>
          <w:rFonts w:ascii="Times New Roman" w:hAnsi="Times New Roman" w:cs="Times New Roman"/>
          <w:sz w:val="24"/>
          <w:szCs w:val="24"/>
        </w:rPr>
        <w:t>Studies in Higher Education, 50</w:t>
      </w:r>
      <w:r>
        <w:rPr>
          <w:rFonts w:ascii="Times New Roman" w:hAnsi="Times New Roman" w:cs="Times New Roman"/>
          <w:sz w:val="24"/>
          <w:szCs w:val="24"/>
        </w:rPr>
        <w:t>(6), 1055–1075.</w:t>
      </w:r>
    </w:p>
    <w:p w14:paraId="7B46A293">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Zaky, H. (2024). </w:t>
      </w:r>
      <w:r>
        <w:rPr>
          <w:rStyle w:val="6"/>
          <w:rFonts w:ascii="Times New Roman" w:hAnsi="Times New Roman" w:cs="Times New Roman"/>
          <w:sz w:val="24"/>
          <w:szCs w:val="24"/>
        </w:rPr>
        <w:t>Assessing online students’ engagement in higher education: Use theory to guide instructions and foster online learners’ interactions</w:t>
      </w:r>
      <w:r>
        <w:rPr>
          <w:rFonts w:ascii="Times New Roman" w:hAnsi="Times New Roman" w:cs="Times New Roman"/>
          <w:sz w:val="24"/>
          <w:szCs w:val="24"/>
        </w:rPr>
        <w:t xml:space="preserve">. </w:t>
      </w:r>
      <w:r>
        <w:rPr>
          <w:rStyle w:val="6"/>
          <w:rFonts w:ascii="Times New Roman" w:hAnsi="Times New Roman" w:cs="Times New Roman"/>
          <w:sz w:val="24"/>
          <w:szCs w:val="24"/>
        </w:rPr>
        <w:t>ResearchGate</w:t>
      </w:r>
      <w:r>
        <w:rPr>
          <w:rFonts w:ascii="Times New Roman" w:hAnsi="Times New Roman" w:cs="Times New Roman"/>
          <w:sz w:val="24"/>
          <w:szCs w:val="24"/>
        </w:rPr>
        <w:t>.</w:t>
      </w:r>
    </w:p>
    <w:p w14:paraId="5428FEC6">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Zhu, L., Zhang, J.H., Au, W. &amp; Yates, G. (2020). University students’ online learning attitudes and continuous intention to undertake online courses: A self-regulated learning perspective. </w:t>
      </w:r>
      <w:r>
        <w:rPr>
          <w:rFonts w:ascii="Times New Roman" w:hAnsi="Times New Roman" w:eastAsia="Times New Roman" w:cs="Times New Roman"/>
          <w:i/>
          <w:iCs/>
          <w:sz w:val="24"/>
          <w:szCs w:val="24"/>
          <w:lang w:val="en-US" w:eastAsia="fr-FR"/>
        </w:rPr>
        <w:t>Educational Technology Research and Development</w:t>
      </w:r>
      <w:r>
        <w:rPr>
          <w:rFonts w:ascii="Times New Roman" w:hAnsi="Times New Roman" w:eastAsia="Times New Roman" w:cs="Times New Roman"/>
          <w:sz w:val="24"/>
          <w:szCs w:val="24"/>
          <w:lang w:val="en-US" w:eastAsia="fr-FR"/>
        </w:rPr>
        <w:t>, 68(11), 1485-1419</w:t>
      </w:r>
    </w:p>
    <w:p w14:paraId="67ECF1AC">
      <w:pPr>
        <w:spacing w:before="120" w:after="120" w:line="240" w:lineRule="auto"/>
        <w:jc w:val="both"/>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Zyngier, D. (2007). Conceptualizing student engagement: Doing education not doing time. </w:t>
      </w:r>
      <w:r>
        <w:rPr>
          <w:rFonts w:ascii="Times New Roman" w:hAnsi="Times New Roman" w:eastAsia="Times New Roman" w:cs="Times New Roman"/>
          <w:i/>
          <w:iCs/>
          <w:sz w:val="24"/>
          <w:szCs w:val="24"/>
          <w:lang w:val="en-US" w:eastAsia="fr-FR"/>
        </w:rPr>
        <w:t>Teachning and Teacher Education</w:t>
      </w:r>
      <w:r>
        <w:rPr>
          <w:rFonts w:ascii="Times New Roman" w:hAnsi="Times New Roman" w:eastAsia="Times New Roman" w:cs="Times New Roman"/>
          <w:sz w:val="24"/>
          <w:szCs w:val="24"/>
          <w:lang w:val="en-US" w:eastAsia="fr-FR"/>
        </w:rPr>
        <w:t>, 24(7), 1765-1776</w:t>
      </w:r>
    </w:p>
    <w:p w14:paraId="46F109C7">
      <w:pPr>
        <w:spacing w:before="100" w:beforeAutospacing="1" w:after="100" w:afterAutospacing="1" w:line="24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Zyngier, D. (2008). </w:t>
      </w:r>
      <w:r>
        <w:rPr>
          <w:rFonts w:ascii="Times New Roman" w:hAnsi="Times New Roman" w:eastAsia="Times New Roman" w:cs="Times New Roman"/>
          <w:i/>
          <w:iCs/>
          <w:sz w:val="24"/>
          <w:szCs w:val="24"/>
          <w:lang w:eastAsia="fr-FR"/>
        </w:rPr>
        <w:t>(Re)conceptualising student engagement: Doing education not doing time.</w:t>
      </w:r>
      <w:r>
        <w:rPr>
          <w:rFonts w:ascii="Times New Roman" w:hAnsi="Times New Roman" w:eastAsia="Times New Roman" w:cs="Times New Roman"/>
          <w:sz w:val="24"/>
          <w:szCs w:val="24"/>
          <w:lang w:eastAsia="fr-FR"/>
        </w:rPr>
        <w:t xml:space="preserve"> </w:t>
      </w:r>
      <w:r>
        <w:rPr>
          <w:rFonts w:ascii="Times New Roman" w:hAnsi="Times New Roman" w:eastAsia="Times New Roman" w:cs="Times New Roman"/>
          <w:i/>
          <w:iCs/>
          <w:sz w:val="24"/>
          <w:szCs w:val="24"/>
          <w:lang w:eastAsia="fr-FR"/>
        </w:rPr>
        <w:t>Teaching and Teacher Education, 24</w:t>
      </w:r>
      <w:r>
        <w:rPr>
          <w:rFonts w:ascii="Times New Roman" w:hAnsi="Times New Roman" w:eastAsia="Times New Roman" w:cs="Times New Roman"/>
          <w:sz w:val="24"/>
          <w:szCs w:val="24"/>
          <w:lang w:eastAsia="fr-FR"/>
        </w:rPr>
        <w:t>(7), 1765–1776.</w:t>
      </w:r>
    </w:p>
    <w:p w14:paraId="0FBA4EE5">
      <w:pPr>
        <w:autoSpaceDE w:val="0"/>
        <w:autoSpaceDN w:val="0"/>
        <w:adjustRightInd w:val="0"/>
        <w:rPr>
          <w:rFonts w:asciiTheme="majorBidi" w:hAnsiTheme="majorBidi" w:cstheme="majorBidi"/>
          <w:b/>
          <w:bCs/>
          <w:sz w:val="24"/>
          <w:szCs w:val="24"/>
          <w:lang w:val="en-US"/>
        </w:rPr>
      </w:pPr>
    </w:p>
    <w:sectPr>
      <w:headerReference r:id="rId5" w:type="default"/>
      <w:footerReference r:id="rId6" w:type="default"/>
      <w:pgSz w:w="11906" w:h="16838"/>
      <w:pgMar w:top="1418" w:right="1418" w:bottom="1418" w:left="1418" w:header="709" w:footer="709"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Lucida Sans Unicode">
    <w:panose1 w:val="020B0602030504020204"/>
    <w:charset w:val="00"/>
    <w:family w:val="swiss"/>
    <w:pitch w:val="default"/>
    <w:sig w:usb0="80001AFF" w:usb1="0000396B" w:usb2="00000000" w:usb3="00000000" w:csb0="200000BF" w:csb1="D7F70000"/>
  </w:font>
  <w:font w:name="Georgia">
    <w:panose1 w:val="02040502050405020303"/>
    <w:charset w:val="00"/>
    <w:family w:val="auto"/>
    <w:pitch w:val="default"/>
    <w:sig w:usb0="00000287" w:usb1="00000000" w:usb2="00000000" w:usb3="00000000" w:csb0="2000009F"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F9828">
    <w:pPr>
      <w:pStyle w:val="9"/>
      <w:pBdr>
        <w:top w:val="thinThickSmallGap" w:color="622423" w:sz="24" w:space="1"/>
      </w:pBdr>
      <w:tabs>
        <w:tab w:val="right" w:pos="8222"/>
        <w:tab w:val="right" w:pos="8505"/>
        <w:tab w:val="right" w:pos="9356"/>
        <w:tab w:val="clear" w:pos="9072"/>
      </w:tabs>
      <w:ind w:right="14"/>
      <w:rPr>
        <w:rFonts w:ascii="Book Antiqua" w:hAnsi="Book Antiqua"/>
        <w:b/>
        <w:sz w:val="20"/>
      </w:rPr>
    </w:pPr>
    <w:r>
      <w:rPr>
        <w:rFonts w:ascii="Book Antiqua" w:hAnsi="Book Antiqua"/>
        <w:b/>
        <w:sz w:val="20"/>
      </w:rPr>
      <w:t>Revue Internationale Multidisciplinaire</w:t>
    </w:r>
  </w:p>
  <w:p w14:paraId="709E2683">
    <w:pPr>
      <w:pStyle w:val="9"/>
      <w:pBdr>
        <w:top w:val="thinThickSmallGap" w:color="622423" w:sz="24" w:space="1"/>
      </w:pBdr>
      <w:tabs>
        <w:tab w:val="right" w:pos="8222"/>
        <w:tab w:val="right" w:pos="8505"/>
        <w:tab w:val="right" w:pos="9356"/>
        <w:tab w:val="clear" w:pos="9072"/>
      </w:tabs>
      <w:ind w:right="14"/>
      <w:rPr>
        <w:rFonts w:ascii="Book Antiqua" w:hAnsi="Book Antiqua"/>
        <w:b/>
        <w:bCs/>
        <w:sz w:val="20"/>
        <w:szCs w:val="20"/>
      </w:rPr>
    </w:pPr>
    <w:r>
      <w:rPr>
        <w:rFonts w:ascii="Book Antiqua" w:hAnsi="Book Antiqua"/>
        <w:b/>
        <w:sz w:val="20"/>
      </w:rPr>
      <w:t>D’Economie et de Gestion</w:t>
    </w:r>
    <w:r>
      <w:rPr>
        <w:rFonts w:ascii="Book Antiqua" w:hAnsi="Book Antiqua"/>
        <w:b/>
        <w:bCs/>
        <w:sz w:val="20"/>
        <w:szCs w:val="20"/>
      </w:rPr>
      <w:tab/>
    </w:r>
    <w:r>
      <w:rPr>
        <w:rFonts w:ascii="Book Antiqua" w:hAnsi="Book Antiqua"/>
        <w:b/>
        <w:bCs/>
        <w:sz w:val="20"/>
        <w:szCs w:val="20"/>
      </w:rPr>
      <w:t xml:space="preserve">                                     </w:t>
    </w:r>
    <w:r>
      <w:fldChar w:fldCharType="begin"/>
    </w:r>
    <w:r>
      <w:instrText xml:space="preserve"> HYPERLINK "http://www.rimege.com" </w:instrText>
    </w:r>
    <w:r>
      <w:fldChar w:fldCharType="separate"/>
    </w:r>
    <w:r>
      <w:rPr>
        <w:rStyle w:val="4"/>
        <w:rFonts w:ascii="Book Antiqua" w:hAnsi="Book Antiqua"/>
        <w:b/>
        <w:bCs/>
        <w:sz w:val="20"/>
        <w:szCs w:val="20"/>
      </w:rPr>
      <w:t>www.rimege.com</w:t>
    </w:r>
    <w:r>
      <w:rPr>
        <w:rStyle w:val="4"/>
        <w:rFonts w:ascii="Book Antiqua" w:hAnsi="Book Antiqua"/>
        <w:b/>
        <w:bCs/>
        <w:sz w:val="20"/>
        <w:szCs w:val="20"/>
      </w:rPr>
      <w:fldChar w:fldCharType="end"/>
    </w:r>
    <w:r>
      <w:rPr>
        <w:rFonts w:ascii="Book Antiqua" w:hAnsi="Book Antiqua"/>
        <w:b/>
        <w:bCs/>
        <w:sz w:val="20"/>
        <w:szCs w:val="20"/>
      </w:rPr>
      <w:t xml:space="preserve"> </w:t>
    </w:r>
    <w:r>
      <w:rPr>
        <w:rFonts w:ascii="Book Antiqua" w:hAnsi="Book Antiqua"/>
        <w:b/>
        <w:bCs/>
        <w:sz w:val="20"/>
        <w:szCs w:val="20"/>
      </w:rPr>
      <w:tab/>
    </w:r>
    <w:r>
      <w:rPr>
        <w:rFonts w:ascii="Book Antiqua" w:hAnsi="Book Antiqua"/>
        <w:b/>
        <w:bCs/>
        <w:sz w:val="20"/>
        <w:szCs w:val="20"/>
      </w:rPr>
      <w:tab/>
    </w:r>
    <w:r>
      <w:rPr>
        <w:rFonts w:ascii="Book Antiqua" w:hAnsi="Book Antiqua"/>
        <w:b/>
        <w:bCs/>
        <w:sz w:val="20"/>
        <w:szCs w:val="20"/>
      </w:rPr>
      <w:t xml:space="preserve">Page </w:t>
    </w:r>
    <w:r>
      <w:rPr>
        <w:rFonts w:ascii="Book Antiqua" w:hAnsi="Book Antiqua"/>
        <w:b/>
        <w:bCs/>
        <w:sz w:val="20"/>
        <w:szCs w:val="20"/>
      </w:rPr>
      <w:fldChar w:fldCharType="begin"/>
    </w:r>
    <w:r>
      <w:rPr>
        <w:rFonts w:ascii="Book Antiqua" w:hAnsi="Book Antiqua"/>
        <w:b/>
        <w:bCs/>
        <w:sz w:val="20"/>
        <w:szCs w:val="20"/>
      </w:rPr>
      <w:instrText xml:space="preserve"> PAGE   \* MERGEFORMAT </w:instrText>
    </w:r>
    <w:r>
      <w:rPr>
        <w:rFonts w:ascii="Book Antiqua" w:hAnsi="Book Antiqua"/>
        <w:b/>
        <w:bCs/>
        <w:sz w:val="20"/>
        <w:szCs w:val="20"/>
      </w:rPr>
      <w:fldChar w:fldCharType="separate"/>
    </w:r>
    <w:r>
      <w:rPr>
        <w:rFonts w:ascii="Book Antiqua" w:hAnsi="Book Antiqua"/>
        <w:b/>
        <w:sz w:val="20"/>
        <w:szCs w:val="20"/>
      </w:rPr>
      <w:t>1</w:t>
    </w:r>
    <w:r>
      <w:rPr>
        <w:rFonts w:ascii="Book Antiqua" w:hAnsi="Book Antiqua"/>
        <w:b/>
        <w:bCs/>
        <w:sz w:val="20"/>
        <w:szCs w:val="20"/>
      </w:rPr>
      <w:fldChar w:fldCharType="end"/>
    </w:r>
  </w:p>
  <w:p w14:paraId="7E3860A7">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AC92">
    <w:pPr>
      <w:tabs>
        <w:tab w:val="right" w:pos="9072"/>
      </w:tabs>
      <w:spacing w:line="276" w:lineRule="auto"/>
      <w:rPr>
        <w:rFonts w:ascii="Book Antiqua" w:hAnsi="Book Antiqua"/>
        <w:b/>
        <w:sz w:val="20"/>
      </w:rPr>
    </w:pPr>
    <w:r>
      <w:rPr>
        <w:rFonts w:ascii="Book Antiqua" w:hAnsi="Book Antiqua"/>
        <w:b/>
        <w:sz w:val="20"/>
      </w:rPr>
      <w:drawing>
        <wp:anchor distT="0" distB="0" distL="114300" distR="114300" simplePos="0" relativeHeight="251660288" behindDoc="0" locked="0" layoutInCell="1" allowOverlap="1">
          <wp:simplePos x="0" y="0"/>
          <wp:positionH relativeFrom="column">
            <wp:posOffset>4130675</wp:posOffset>
          </wp:positionH>
          <wp:positionV relativeFrom="paragraph">
            <wp:posOffset>-183515</wp:posOffset>
          </wp:positionV>
          <wp:extent cx="2260600"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60849" cy="628015"/>
                  </a:xfrm>
                  <a:prstGeom prst="rect">
                    <a:avLst/>
                  </a:prstGeom>
                  <a:noFill/>
                  <a:ln>
                    <a:noFill/>
                  </a:ln>
                </pic:spPr>
              </pic:pic>
            </a:graphicData>
          </a:graphic>
        </wp:anchor>
      </w:drawing>
    </w:r>
    <w:r>
      <w:rPr>
        <w:rFonts w:ascii="Book Antiqua" w:hAnsi="Book Antiqua"/>
        <w:b/>
        <w:sz w:val="20"/>
      </w:rPr>
      <w:t> Revue Internationale Multidisciplinaire</w:t>
    </w:r>
  </w:p>
  <w:p w14:paraId="65A25F45">
    <w:pPr>
      <w:tabs>
        <w:tab w:val="right" w:pos="9072"/>
      </w:tabs>
      <w:spacing w:line="276" w:lineRule="auto"/>
      <w:rPr>
        <w:rFonts w:ascii="Book Antiqua" w:hAnsi="Book Antiqua"/>
        <w:b/>
        <w:sz w:val="20"/>
      </w:rPr>
    </w:pPr>
    <w:r>
      <w:rPr>
        <w:rFonts w:ascii="Book Antiqua" w:hAnsi="Book Antiqua"/>
        <w:b/>
        <w:sz w:val="20"/>
      </w:rPr>
      <w:t>D’Economie et de Gestion</w:t>
    </w:r>
  </w:p>
  <w:p w14:paraId="5F55D3CE">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pPr>
      <w:tabs>
        <w:tab w:val="right" w:pos="9072"/>
      </w:tabs>
      <w:spacing w:line="276" w:lineRule="auto"/>
    </w:pPr>
    <w:r>
      <w:rPr>
        <w:rFonts w:ascii="Book Antiqua" w:hAnsi="Book Antiqua"/>
        <w:sz w:val="20"/>
      </w:rPr>
      <w:t>Volume xx : Numéro yy</w:t>
    </w:r>
    <w:r>
      <w:t xml:space="preserve">                                                         </w:t>
    </w:r>
    <w:r>
      <w:tab/>
    </w:r>
  </w:p>
  <w:p w14:paraId="1F4DD5CF">
    <w:pPr>
      <w:pStyle w:val="10"/>
      <w:spacing w:line="276" w:lineRule="auto"/>
      <w:ind w:left="-993"/>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487A7A"/>
    <w:multiLevelType w:val="multilevel"/>
    <w:tmpl w:val="1D487A7A"/>
    <w:lvl w:ilvl="0" w:tentative="0">
      <w:start w:val="1"/>
      <w:numFmt w:val="decimal"/>
      <w:lvlText w:val="%1."/>
      <w:lvlJc w:val="left"/>
      <w:pPr>
        <w:ind w:left="720" w:hanging="360"/>
      </w:pPr>
      <w:rPr>
        <w:rFonts w:hint="default"/>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
    <w:nsid w:val="69E54CB0"/>
    <w:multiLevelType w:val="multilevel"/>
    <w:tmpl w:val="69E54CB0"/>
    <w:lvl w:ilvl="0" w:tentative="0">
      <w:start w:val="1"/>
      <w:numFmt w:val="decimal"/>
      <w:lvlText w:val="%1."/>
      <w:lvlJc w:val="left"/>
      <w:pPr>
        <w:ind w:left="720" w:hanging="360"/>
      </w:pPr>
      <w:rPr>
        <w:rFonts w:ascii="Cambria" w:hAnsi="Cambria" w:eastAsia="Times New Roman" w:cs="Times New Roman"/>
      </w:rPr>
    </w:lvl>
    <w:lvl w:ilvl="1" w:tentative="0">
      <w:start w:val="1"/>
      <w:numFmt w:val="decimal"/>
      <w:isLgl/>
      <w:lvlText w:val="%1.%2"/>
      <w:lvlJc w:val="left"/>
      <w:pPr>
        <w:ind w:left="405" w:hanging="405"/>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6EEA5D92"/>
    <w:multiLevelType w:val="multilevel"/>
    <w:tmpl w:val="6EEA5D9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 w:val="05EF5DBD"/>
    <w:rsid w:val="062724A6"/>
    <w:rsid w:val="081246CC"/>
    <w:rsid w:val="0B2009CF"/>
    <w:rsid w:val="0BCC6961"/>
    <w:rsid w:val="0E0555CD"/>
    <w:rsid w:val="1C535684"/>
    <w:rsid w:val="1FE16C7B"/>
    <w:rsid w:val="1FEF4F54"/>
    <w:rsid w:val="272C7CE9"/>
    <w:rsid w:val="29082BE0"/>
    <w:rsid w:val="2A3E4CC9"/>
    <w:rsid w:val="2BBA59CC"/>
    <w:rsid w:val="2FA7273E"/>
    <w:rsid w:val="32C61A21"/>
    <w:rsid w:val="3303562C"/>
    <w:rsid w:val="3A760E43"/>
    <w:rsid w:val="3B9D74DC"/>
    <w:rsid w:val="40EA6BDF"/>
    <w:rsid w:val="415470BD"/>
    <w:rsid w:val="43CD21AA"/>
    <w:rsid w:val="44B12C0A"/>
    <w:rsid w:val="47947AFC"/>
    <w:rsid w:val="4BF87D30"/>
    <w:rsid w:val="4C985580"/>
    <w:rsid w:val="4FBE386A"/>
    <w:rsid w:val="51CB20D5"/>
    <w:rsid w:val="54BC410D"/>
    <w:rsid w:val="5BFC2A15"/>
    <w:rsid w:val="5C733E6A"/>
    <w:rsid w:val="60592304"/>
    <w:rsid w:val="60851951"/>
    <w:rsid w:val="625902ED"/>
    <w:rsid w:val="6F601648"/>
    <w:rsid w:val="76A22F2E"/>
    <w:rsid w:val="78E8666B"/>
    <w:rsid w:val="7B766044"/>
  </w:rsids>
  <m:mathPr>
    <m:mathFont m:val="Cambria Math"/>
    <m:brkBin m:val="before"/>
    <m:brkBinSub m:val="--"/>
    <m:smallFrac m:val="1"/>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sdException w:qFormat="1" w:unhideWhenUsed="0" w:uiPriority="59" w:semiHidden="0" w:name="Table Grid"/>
    <w:lsdException w:qFormat="1" w:unhideWhenUsed="0" w:uiPriority="34" w:semiHidden="0" w:name="List Paragraph"/>
  </w:latentStyles>
  <w:style w:type="paragraph" w:default="1" w:styleId="1">
    <w:name w:val="Normal"/>
    <w:qFormat/>
    <w:uiPriority w:val="0"/>
    <w:pPr>
      <w:spacing w:line="360" w:lineRule="auto"/>
      <w:jc w:val="both"/>
    </w:pPr>
    <w:rPr>
      <w:rFonts w:asciiTheme="minorHAnsi" w:hAnsiTheme="minorHAnsi" w:eastAsiaTheme="minorEastAsia" w:cstheme="minorBidi"/>
      <w:sz w:val="22"/>
      <w:szCs w:val="22"/>
      <w:lang w:val="fr-FR" w:eastAsia="fr-FR" w:bidi="ar-SA"/>
    </w:rPr>
  </w:style>
  <w:style w:type="paragraph" w:styleId="2">
    <w:name w:val="heading 4"/>
    <w:basedOn w:val="1"/>
    <w:next w:val="1"/>
    <w:unhideWhenUsed/>
    <w:qFormat/>
    <w:uiPriority w:val="9"/>
    <w:pPr>
      <w:keepNext/>
      <w:spacing w:before="240" w:after="60"/>
      <w:outlineLvl w:val="3"/>
    </w:pPr>
    <w:rPr>
      <w:rFonts w:ascii="Calibri" w:hAnsi="Calibri" w:eastAsia="Times New Roman" w:cs="Arial"/>
      <w:b/>
      <w:bCs/>
      <w:sz w:val="28"/>
      <w:szCs w:val="28"/>
    </w:rPr>
  </w:style>
  <w:style w:type="character" w:default="1" w:styleId="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000FF" w:themeColor="hyperlink"/>
      <w:u w:val="single"/>
      <w14:textFill>
        <w14:solidFill>
          <w14:schemeClr w14:val="hlink"/>
        </w14:solidFill>
      </w14:textFill>
    </w:rPr>
  </w:style>
  <w:style w:type="character" w:styleId="5">
    <w:name w:val="Strong"/>
    <w:qFormat/>
    <w:uiPriority w:val="22"/>
    <w:rPr>
      <w:b/>
      <w:bCs/>
    </w:rPr>
  </w:style>
  <w:style w:type="character" w:styleId="6">
    <w:name w:val="Emphasis"/>
    <w:qFormat/>
    <w:uiPriority w:val="20"/>
    <w:rPr>
      <w:i/>
      <w:iCs/>
    </w:rPr>
  </w:style>
  <w:style w:type="paragraph" w:styleId="7">
    <w:name w:val="Balloon Text"/>
    <w:basedOn w:val="1"/>
    <w:link w:val="15"/>
    <w:semiHidden/>
    <w:unhideWhenUsed/>
    <w:qFormat/>
    <w:uiPriority w:val="99"/>
    <w:pPr>
      <w:spacing w:line="240" w:lineRule="auto"/>
    </w:pPr>
    <w:rPr>
      <w:rFonts w:ascii="Tahoma" w:hAnsi="Tahoma" w:cs="Tahoma"/>
      <w:sz w:val="16"/>
      <w:szCs w:val="16"/>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9">
    <w:name w:val="footer"/>
    <w:basedOn w:val="1"/>
    <w:link w:val="13"/>
    <w:unhideWhenUsed/>
    <w:qFormat/>
    <w:uiPriority w:val="99"/>
    <w:pPr>
      <w:tabs>
        <w:tab w:val="center" w:pos="4536"/>
        <w:tab w:val="right" w:pos="9072"/>
      </w:tabs>
      <w:spacing w:line="240" w:lineRule="auto"/>
    </w:pPr>
  </w:style>
  <w:style w:type="paragraph" w:styleId="10">
    <w:name w:val="header"/>
    <w:basedOn w:val="1"/>
    <w:link w:val="12"/>
    <w:unhideWhenUsed/>
    <w:qFormat/>
    <w:uiPriority w:val="99"/>
    <w:pPr>
      <w:tabs>
        <w:tab w:val="center" w:pos="4536"/>
        <w:tab w:val="right" w:pos="9072"/>
      </w:tabs>
      <w:spacing w:line="240" w:lineRule="auto"/>
    </w:pPr>
  </w:style>
  <w:style w:type="character" w:customStyle="1" w:styleId="12">
    <w:name w:val="En-tête Car"/>
    <w:basedOn w:val="3"/>
    <w:link w:val="10"/>
    <w:qFormat/>
    <w:uiPriority w:val="99"/>
  </w:style>
  <w:style w:type="character" w:customStyle="1" w:styleId="13">
    <w:name w:val="Pied de page Car"/>
    <w:basedOn w:val="3"/>
    <w:link w:val="9"/>
    <w:qFormat/>
    <w:uiPriority w:val="99"/>
  </w:style>
  <w:style w:type="paragraph" w:styleId="14">
    <w:name w:val="List Paragraph"/>
    <w:basedOn w:val="1"/>
    <w:qFormat/>
    <w:uiPriority w:val="34"/>
    <w:pPr>
      <w:ind w:left="720"/>
      <w:contextualSpacing/>
    </w:pPr>
    <w:rPr>
      <w:rFonts w:ascii="Calibri" w:hAnsi="Calibri" w:eastAsia="Calibri" w:cs="Times New Roman"/>
    </w:rPr>
  </w:style>
  <w:style w:type="character" w:customStyle="1" w:styleId="15">
    <w:name w:val="Texte de bulles Car"/>
    <w:basedOn w:val="3"/>
    <w:link w:val="7"/>
    <w:semiHidden/>
    <w:qFormat/>
    <w:uiPriority w:val="99"/>
    <w:rPr>
      <w:rFonts w:ascii="Tahoma" w:hAnsi="Tahoma" w:cs="Tahoma"/>
      <w:sz w:val="16"/>
      <w:szCs w:val="16"/>
    </w:rPr>
  </w:style>
  <w:style w:type="table" w:styleId="16">
    <w:name w:val="Table Grid"/>
    <w:basedOn w:val="11"/>
    <w:qFormat/>
    <w:uiPriority w:val="59"/>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Default"/>
    <w:qFormat/>
    <w:uiPriority w:val="0"/>
    <w:pPr>
      <w:autoSpaceDE w:val="0"/>
      <w:autoSpaceDN w:val="0"/>
      <w:adjustRightInd w:val="0"/>
      <w:spacing w:line="240" w:lineRule="auto"/>
      <w:jc w:val="both"/>
    </w:pPr>
    <w:rPr>
      <w:rFonts w:ascii="Times New Roman" w:hAnsi="Times New Roman" w:eastAsia="Times New Roman" w:cs="Times New Roman"/>
      <w:color w:val="000000"/>
      <w:sz w:val="24"/>
      <w:szCs w:val="24"/>
      <w:lang w:val="fr-FR" w:eastAsia="fr-FR" w:bidi="ar-SA"/>
    </w:rPr>
  </w:style>
  <w:style w:type="paragraph" w:customStyle="1" w:styleId="18">
    <w:name w:val="CM113"/>
    <w:basedOn w:val="17"/>
    <w:next w:val="17"/>
    <w:qFormat/>
    <w:uiPriority w:val="99"/>
    <w:rPr>
      <w:rFonts w:eastAsia="Lucida Sans Unicode"/>
      <w:color w:val="auto"/>
    </w:rPr>
  </w:style>
  <w:style w:type="character" w:customStyle="1" w:styleId="19">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606B82-E077-4EDE-8B56-0436FF73E1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4632</Words>
  <Characters>28204</Characters>
  <Lines>94</Lines>
  <Paragraphs>26</Paragraphs>
  <TotalTime>33</TotalTime>
  <ScaleCrop>false</ScaleCrop>
  <LinksUpToDate>false</LinksUpToDate>
  <CharactersWithSpaces>33169</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2020-12-25T11:36:00Z</dcterms:created>
  <dc:creator>HP</dc:creator>
  <cp:lastModifiedBy>samah hamdi</cp:lastModifiedBy>
  <cp:lastPrinted>2018-02-14T02:59:00Z</cp:lastPrinted>
  <dcterms:modified xsi:type="dcterms:W3CDTF">2026-06-10T15:01:41Z</dcterms:modified>
  <dc:title>INTITULE DE L’ARTICLE AU MAJUSCULE, CALIBRI 12, CENTRE, INTERLIGNE SIMPLE</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eyJoZGlkIjoiYjk5ODM0YmMxOWJiYWQyNDU4MGIzYWRmYTA0ZmI5NDciLCJ1c2VySWQiOiIxOTM3ODg5MzQzMzg5NCJ9</vt:lpwstr>
  </property>
  <property fmtid="{D5CDD505-2E9C-101B-9397-08002B2CF9AE}" pid="3" name="KSOProductBuildVer">
    <vt:lpwstr>1036-12.1.0.26372</vt:lpwstr>
  </property>
  <property fmtid="{D5CDD505-2E9C-101B-9397-08002B2CF9AE}" pid="4" name="ICV">
    <vt:lpwstr>94FE22C8BD7A42049CB5297579DD6F7F_12</vt:lpwstr>
  </property>
</Properties>
</file>